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7B" w:rsidRPr="0085347B" w:rsidRDefault="0085347B" w:rsidP="0085347B">
      <w:pPr>
        <w:spacing w:after="160" w:line="259" w:lineRule="auto"/>
        <w:rPr>
          <w:rFonts w:ascii="Times New Roman" w:eastAsia="Calibri" w:hAnsi="Times New Roman" w:cs="Times New Roman"/>
          <w:b/>
          <w:sz w:val="24"/>
          <w:szCs w:val="24"/>
          <w:lang w:eastAsia="en-US"/>
        </w:rPr>
      </w:pPr>
      <w:r w:rsidRPr="0085347B">
        <w:rPr>
          <w:rFonts w:ascii="Times New Roman" w:eastAsia="Calibri" w:hAnsi="Times New Roman" w:cs="Times New Roman"/>
          <w:b/>
          <w:sz w:val="24"/>
          <w:szCs w:val="24"/>
          <w:lang w:eastAsia="en-US"/>
        </w:rPr>
        <w:t>ANEXA 11 A</w:t>
      </w:r>
    </w:p>
    <w:p w:rsidR="0085347B" w:rsidRPr="0085347B" w:rsidRDefault="0085347B" w:rsidP="0085347B">
      <w:pPr>
        <w:spacing w:after="0" w:line="240" w:lineRule="auto"/>
        <w:jc w:val="center"/>
        <w:rPr>
          <w:rFonts w:ascii="Times New Roman" w:eastAsia="Calibri" w:hAnsi="Times New Roman" w:cs="Times New Roman"/>
          <w:b/>
          <w:sz w:val="24"/>
          <w:szCs w:val="24"/>
          <w:lang w:eastAsia="en-US"/>
        </w:rPr>
      </w:pPr>
      <w:r w:rsidRPr="0085347B">
        <w:rPr>
          <w:rFonts w:ascii="Times New Roman" w:eastAsia="Calibri" w:hAnsi="Times New Roman" w:cs="Times New Roman"/>
          <w:b/>
          <w:sz w:val="24"/>
          <w:szCs w:val="24"/>
          <w:lang w:eastAsia="en-US"/>
        </w:rPr>
        <w:t>CRITERII</w:t>
      </w:r>
    </w:p>
    <w:p w:rsidR="0085347B" w:rsidRPr="0085347B" w:rsidRDefault="0085347B" w:rsidP="0085347B">
      <w:pPr>
        <w:spacing w:after="0" w:line="240" w:lineRule="auto"/>
        <w:jc w:val="center"/>
        <w:rPr>
          <w:rFonts w:ascii="Times New Roman" w:eastAsia="Calibri" w:hAnsi="Times New Roman" w:cs="Times New Roman"/>
          <w:b/>
          <w:sz w:val="24"/>
          <w:szCs w:val="24"/>
          <w:lang w:eastAsia="en-US"/>
        </w:rPr>
      </w:pPr>
      <w:r w:rsidRPr="0085347B">
        <w:rPr>
          <w:rFonts w:ascii="Times New Roman" w:eastAsia="Calibri" w:hAnsi="Times New Roman" w:cs="Times New Roman"/>
          <w:b/>
          <w:sz w:val="24"/>
          <w:szCs w:val="24"/>
          <w:lang w:eastAsia="en-US"/>
        </w:rPr>
        <w:t>privind selecţia furnizorilor de servicii medicale de medicină fizică şi de reabilitare în ambulatoriu şi repartizarea sumelor pentru furnizarea de servicii medicale de medicină fizică şi de reabilitare în ambulatoriu</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p>
    <w:p w:rsidR="0085347B" w:rsidRPr="0085347B" w:rsidRDefault="0085347B" w:rsidP="0085347B">
      <w:pPr>
        <w:spacing w:after="0" w:line="240" w:lineRule="auto"/>
        <w:jc w:val="both"/>
        <w:rPr>
          <w:rFonts w:ascii="Times New Roman" w:eastAsia="Calibri" w:hAnsi="Times New Roman" w:cs="Times New Roman"/>
          <w:b/>
          <w:bCs/>
          <w:sz w:val="24"/>
          <w:szCs w:val="24"/>
          <w:lang w:eastAsia="en-US"/>
        </w:rPr>
      </w:pPr>
      <w:r w:rsidRPr="0085347B">
        <w:rPr>
          <w:rFonts w:ascii="Times New Roman" w:eastAsia="Calibri" w:hAnsi="Times New Roman" w:cs="Times New Roman"/>
          <w:sz w:val="24"/>
          <w:szCs w:val="24"/>
          <w:lang w:eastAsia="en-US"/>
        </w:rPr>
        <w:t xml:space="preserve">    </w:t>
      </w:r>
      <w:r w:rsidRPr="0085347B">
        <w:rPr>
          <w:rFonts w:ascii="Times New Roman" w:eastAsia="Calibri" w:hAnsi="Times New Roman" w:cs="Times New Roman"/>
          <w:b/>
          <w:bCs/>
          <w:sz w:val="24"/>
          <w:szCs w:val="24"/>
          <w:lang w:eastAsia="en-US"/>
        </w:rPr>
        <w:t>CAPITOLUL I</w:t>
      </w:r>
    </w:p>
    <w:p w:rsidR="0085347B" w:rsidRPr="0085347B" w:rsidRDefault="0085347B" w:rsidP="0085347B">
      <w:pPr>
        <w:spacing w:after="0" w:line="240" w:lineRule="auto"/>
        <w:jc w:val="both"/>
        <w:rPr>
          <w:rFonts w:ascii="Times New Roman" w:eastAsia="Calibri" w:hAnsi="Times New Roman" w:cs="Times New Roman"/>
          <w:b/>
          <w:sz w:val="24"/>
          <w:szCs w:val="24"/>
          <w:lang w:eastAsia="en-US"/>
        </w:rPr>
      </w:pPr>
      <w:r w:rsidRPr="0085347B">
        <w:rPr>
          <w:rFonts w:ascii="Times New Roman" w:eastAsia="Calibri" w:hAnsi="Times New Roman" w:cs="Times New Roman"/>
          <w:sz w:val="24"/>
          <w:szCs w:val="24"/>
          <w:lang w:eastAsia="en-US"/>
        </w:rPr>
        <w:t xml:space="preserve">    </w:t>
      </w:r>
      <w:r w:rsidRPr="0085347B">
        <w:rPr>
          <w:rFonts w:ascii="Times New Roman" w:eastAsia="Calibri" w:hAnsi="Times New Roman" w:cs="Times New Roman"/>
          <w:b/>
          <w:sz w:val="24"/>
          <w:szCs w:val="24"/>
          <w:lang w:eastAsia="en-US"/>
        </w:rPr>
        <w:t xml:space="preserve">Criterii de selecţie a furnizorilor de servicii medicale de medicină fizică şi de reabilitare în ambulatoriu </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Pentru a intra în relaţii contractuale cu casele de asigurări de sănătate, furnizorii de servicii de medicină fizică şi de reabilitare în ambulatoriu trebuie să îndeplinească cumulativ următoarele criterii de selecţie: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1. Să fie autorizaţi şi evaluaţi, acreditaţi sau înscrişi în procesul de acreditare potrivit dispoziţiilor legale în vigoare;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2. Să facă dovada capacităţii tehnice de a efectua serviciile medicale de medicină fizică şi de reabilitare în ambulatoriu pentru a căror furnizare încheie contract cu casa de asigurări de sănătate.</w:t>
      </w:r>
    </w:p>
    <w:p w:rsid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3. Să facă dovada că pentru cel puţin o normă pe zi - 7 ore – programul furnizorului/punctului de lucru este acoperit de </w:t>
      </w:r>
      <w:r w:rsidRPr="003C3EB6">
        <w:rPr>
          <w:rFonts w:ascii="Times New Roman" w:eastAsia="Calibri" w:hAnsi="Times New Roman" w:cs="Times New Roman"/>
          <w:b/>
          <w:sz w:val="24"/>
          <w:szCs w:val="24"/>
          <w:lang w:eastAsia="en-US"/>
        </w:rPr>
        <w:t>fizioterapeut</w:t>
      </w:r>
      <w:r w:rsidRPr="0085347B">
        <w:rPr>
          <w:rFonts w:ascii="Times New Roman" w:eastAsia="Calibri" w:hAnsi="Times New Roman" w:cs="Times New Roman"/>
          <w:sz w:val="24"/>
          <w:szCs w:val="24"/>
          <w:lang w:eastAsia="en-US"/>
        </w:rPr>
        <w:t xml:space="preserve"> care îşi desfăşoară  într-o formă legală profesia la furnizor.</w:t>
      </w:r>
    </w:p>
    <w:p w:rsidR="003C3EB6" w:rsidRPr="0085347B" w:rsidRDefault="003C3EB6" w:rsidP="0085347B">
      <w:pPr>
        <w:spacing w:after="0" w:line="240" w:lineRule="auto"/>
        <w:jc w:val="both"/>
        <w:rPr>
          <w:rFonts w:ascii="Times New Roman" w:eastAsia="Calibri" w:hAnsi="Times New Roman" w:cs="Times New Roman"/>
          <w:sz w:val="24"/>
          <w:szCs w:val="24"/>
          <w:lang w:eastAsia="en-US"/>
        </w:rPr>
      </w:pPr>
    </w:p>
    <w:p w:rsidR="0085347B" w:rsidRPr="003C3EB6" w:rsidRDefault="0085347B" w:rsidP="0085347B">
      <w:pPr>
        <w:spacing w:after="0" w:line="240" w:lineRule="auto"/>
        <w:jc w:val="both"/>
        <w:rPr>
          <w:rFonts w:ascii="Times New Roman" w:eastAsia="Calibri" w:hAnsi="Times New Roman" w:cs="Times New Roman"/>
          <w:b/>
          <w:sz w:val="24"/>
          <w:szCs w:val="24"/>
          <w:lang w:eastAsia="en-US"/>
        </w:rPr>
      </w:pPr>
      <w:r w:rsidRPr="003C3EB6">
        <w:rPr>
          <w:rFonts w:ascii="Times New Roman" w:eastAsia="Calibri" w:hAnsi="Times New Roman" w:cs="Times New Roman"/>
          <w:b/>
          <w:sz w:val="24"/>
          <w:szCs w:val="24"/>
          <w:lang w:eastAsia="en-US"/>
        </w:rPr>
        <w:t xml:space="preserve">    CAPITOLUL II</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La stabilirea valorii contractelor de furnizare de servicii medicale de medicină fizică şi de reabilitare în ambulatoriu  se au în vedere următoarele criterii:</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A. Evaluarea capacităţii resurselor tehnice         40%</w:t>
      </w:r>
    </w:p>
    <w:p w:rsid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B. Evaluarea resurselor umane                           60%</w:t>
      </w:r>
    </w:p>
    <w:p w:rsidR="003C3EB6" w:rsidRPr="0085347B" w:rsidRDefault="003C3EB6" w:rsidP="0085347B">
      <w:pPr>
        <w:spacing w:after="0" w:line="240" w:lineRule="auto"/>
        <w:jc w:val="both"/>
        <w:rPr>
          <w:rFonts w:ascii="Times New Roman" w:eastAsia="Calibri" w:hAnsi="Times New Roman" w:cs="Times New Roman"/>
          <w:sz w:val="24"/>
          <w:szCs w:val="24"/>
          <w:lang w:eastAsia="en-US"/>
        </w:rPr>
      </w:pPr>
    </w:p>
    <w:p w:rsidR="0085347B" w:rsidRPr="0085347B" w:rsidRDefault="0085347B" w:rsidP="0085347B">
      <w:pPr>
        <w:spacing w:after="0" w:line="240" w:lineRule="auto"/>
        <w:jc w:val="both"/>
        <w:rPr>
          <w:rFonts w:ascii="Times New Roman" w:eastAsia="Calibri" w:hAnsi="Times New Roman" w:cs="Times New Roman"/>
          <w:b/>
          <w:sz w:val="24"/>
          <w:szCs w:val="24"/>
          <w:lang w:eastAsia="en-US"/>
        </w:rPr>
      </w:pPr>
      <w:r w:rsidRPr="0085347B">
        <w:rPr>
          <w:rFonts w:ascii="Times New Roman" w:eastAsia="Calibri" w:hAnsi="Times New Roman" w:cs="Times New Roman"/>
          <w:b/>
          <w:sz w:val="24"/>
          <w:szCs w:val="24"/>
          <w:lang w:eastAsia="en-US"/>
        </w:rPr>
        <w:t xml:space="preserve">    A. Evaluarea capacităţii resurselor tehnice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Ponderea acestui criteriu este de 40%.</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Ca urmare a aplicării metodologiei de stabilire a punctajului, fiecare furnizor de servicii medicale de medicină fizică şi de reabilitare în ambulatoriu obţine un punctaj corespunzător acestui criteriu.</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a) Furnizorii de servicii medicale de medicină fizică şi de reabilitare în ambulatoriu sunt obligaţi să facă dovada deţinerii legale a aparaturii prin documente conforme şi în termen de valabilitate.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b) Casele de asigurări de sănătate sunt obligate să verifice dacă seria şi numărul aparatului existent la punctul de lucru respectiv sunt aceleaşi cu seria şi numărul aparatului înscrise în cuprinsul documentelor care atestă existenţa şi deţinerea legală a acestora.</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c) Furnizorii sunt obligaţi să prezinte documentele pentru aparatul/aparatele deţinute din care să reiasă: anul fabricaţiei, seria şi numărul, numărul de canale şi numărul de bolnavi care pot face terapie simultan cu aparatul/aparatele respective pentru care încheie contract de furnizare de servicii medicale de medicină fizică şi de reabilitare în ambulatoriu cu casa de asigurări de sănătate.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d) Nu sunt luate în calcul aparatele care nu au înscrise pe ele seria şi numărul şi nici aparatele pentru care furnizorii nu pot prezenta manualul de utilizare/fişa tehnică.</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e) Dacă doi sau mai mulţi furnizori prezintă aparate înregistrate cu aceeaşi serie şi număr înainte sau în perioada de contractare, acestea sunt excluse definitiv şi nu se mai iau în calcul la niciunul dintre furnizori.</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Fac excepţie furnizorii de servicii medicale de medicină fizică şi de reabilitare în ambulatoriu care îşi desfăşoară activitatea utilizând acelaşi spaţiu şi aceleaşi echipamente </w:t>
      </w:r>
      <w:r w:rsidRPr="0085347B">
        <w:rPr>
          <w:rFonts w:ascii="Times New Roman" w:eastAsia="Calibri" w:hAnsi="Times New Roman" w:cs="Times New Roman"/>
          <w:sz w:val="24"/>
          <w:szCs w:val="24"/>
          <w:lang w:eastAsia="en-US"/>
        </w:rPr>
        <w:lastRenderedPageBreak/>
        <w:t xml:space="preserve">specifice deţinute şi/sau utilizate în comun în condiţiile legii, cu prezentarea documentelor justificative prevăzute de actele normative în vigoare şi numai în condiţiile în care personalul medico-sanitar al fiecărui furnizor îşi desfăşoară activitatea cu respectarea dispoziţiilor Hotărârii Guvernului  nr. </w:t>
      </w:r>
      <w:r w:rsidRPr="0085347B">
        <w:rPr>
          <w:rFonts w:ascii="Times New Roman" w:hAnsi="Times New Roman" w:cs="Times New Roman"/>
          <w:sz w:val="24"/>
          <w:szCs w:val="24"/>
        </w:rPr>
        <w:t>521</w:t>
      </w:r>
      <w:r w:rsidRPr="0085347B">
        <w:rPr>
          <w:rFonts w:ascii="Times New Roman" w:eastAsia="Calibri" w:hAnsi="Times New Roman" w:cs="Times New Roman"/>
          <w:sz w:val="24"/>
          <w:szCs w:val="24"/>
          <w:lang w:eastAsia="en-US"/>
        </w:rPr>
        <w:t>/2023 şi într-un program de lucru distinct.</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f) Furnizorii vor prezenta contract de service încheiat cu un furnizor avizat de Ministerul Sănătăţii sau Agenţia Naţională a Medicamentului şi a Dispozitivelor Medicale din România, conform prevederilor legale în vigoare, pentru aparatele ieşite din perioada de garanţie şi valabil pe perioada de derulare a contractului de furnizare de servicii medicale. Pentru aparatele care ies din garanţie pe parcursul derulării contractului de furnizare de servicii medicale furnizorii sunt obligaţi să prezinte contractul de service anterior expirării perioadei de garanţie.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g) Furnizorii au obligaţia să prezinte la contractare, respectiv pe parcursul derulării contractului de furnizare de servicii medicale avizul de utilizare, emis de Agenţia Naţională a Medicamentului şi a Dispozitivelor Medicale din România pentru dispozitivele medicale din dotare achiziţionate "second hand". Această prevedere reprezintă condiţie de eligibilitate pentru aparatul/aparatele respective, în vederea atribuirii punctajului conform metodologiei de mai jos, respectiv a menţinerii sumelor rezultate din aplicarea acestuia.</w:t>
      </w:r>
    </w:p>
    <w:p w:rsidR="0085347B" w:rsidRDefault="0085347B" w:rsidP="0085347B">
      <w:pPr>
        <w:widowControl w:val="0"/>
        <w:spacing w:after="160" w:line="259" w:lineRule="auto"/>
        <w:jc w:val="both"/>
        <w:rPr>
          <w:rFonts w:ascii="Times New Roman" w:eastAsia="Calibri" w:hAnsi="Times New Roman" w:cs="Times New Roman"/>
          <w:sz w:val="16"/>
          <w:szCs w:val="16"/>
          <w:lang w:eastAsia="en-US"/>
        </w:rPr>
      </w:pPr>
    </w:p>
    <w:p w:rsidR="003C3EB6" w:rsidRPr="0085347B" w:rsidRDefault="003C3EB6" w:rsidP="0085347B">
      <w:pPr>
        <w:widowControl w:val="0"/>
        <w:spacing w:after="160" w:line="259" w:lineRule="auto"/>
        <w:jc w:val="both"/>
        <w:rPr>
          <w:rFonts w:ascii="Times New Roman" w:eastAsia="Calibri" w:hAnsi="Times New Roman" w:cs="Times New Roman"/>
          <w:sz w:val="16"/>
          <w:szCs w:val="16"/>
          <w:lang w:eastAsia="en-US"/>
        </w:rPr>
      </w:pPr>
    </w:p>
    <w:p w:rsidR="0085347B" w:rsidRPr="0085347B" w:rsidRDefault="0085347B" w:rsidP="0085347B">
      <w:pPr>
        <w:spacing w:after="0" w:line="240" w:lineRule="auto"/>
        <w:jc w:val="both"/>
        <w:rPr>
          <w:rFonts w:ascii="Times New Roman" w:hAnsi="Times New Roman" w:cs="Times New Roman"/>
          <w:sz w:val="24"/>
          <w:szCs w:val="24"/>
        </w:rPr>
      </w:pPr>
      <w:r w:rsidRPr="0085347B">
        <w:rPr>
          <w:rFonts w:ascii="Times New Roman" w:hAnsi="Times New Roman" w:cs="Times New Roman"/>
          <w:b/>
          <w:bCs/>
          <w:sz w:val="24"/>
          <w:szCs w:val="24"/>
        </w:rPr>
        <w:t>A.1.</w:t>
      </w:r>
      <w:r w:rsidRPr="0085347B">
        <w:rPr>
          <w:rFonts w:ascii="Times New Roman" w:hAnsi="Times New Roman" w:cs="Times New Roman"/>
          <w:sz w:val="24"/>
          <w:szCs w:val="24"/>
        </w:rPr>
        <w:t xml:space="preserve"> Se acordă punctaj pentru fiecare aparat deţinut, după cum urmează:</w:t>
      </w:r>
    </w:p>
    <w:p w:rsidR="0085347B" w:rsidRPr="0085347B" w:rsidRDefault="0085347B" w:rsidP="0085347B">
      <w:pPr>
        <w:spacing w:after="0" w:line="240" w:lineRule="auto"/>
        <w:jc w:val="both"/>
        <w:rPr>
          <w:rFonts w:ascii="Courier New" w:hAnsi="Courier New" w:cs="Courier New"/>
          <w:sz w:val="24"/>
          <w:szCs w:val="24"/>
        </w:rPr>
      </w:pPr>
    </w:p>
    <w:tbl>
      <w:tblPr>
        <w:tblW w:w="9747" w:type="dxa"/>
        <w:tblLayout w:type="fixed"/>
        <w:tblLook w:val="04A0"/>
      </w:tblPr>
      <w:tblGrid>
        <w:gridCol w:w="610"/>
        <w:gridCol w:w="5052"/>
        <w:gridCol w:w="2442"/>
        <w:gridCol w:w="1643"/>
      </w:tblGrid>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b/>
                <w:bCs/>
              </w:rPr>
            </w:pPr>
            <w:r w:rsidRPr="0085347B">
              <w:rPr>
                <w:rFonts w:ascii="Times New Roman" w:eastAsia="Times New Roman" w:hAnsi="Times New Roman" w:cs="Times New Roman"/>
                <w:b/>
                <w:bCs/>
                <w:sz w:val="24"/>
                <w:szCs w:val="24"/>
              </w:rPr>
              <w:t>Nr. crt.</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b/>
                <w:bCs/>
              </w:rPr>
            </w:pPr>
            <w:r w:rsidRPr="0085347B">
              <w:rPr>
                <w:rFonts w:ascii="Times New Roman" w:eastAsia="Times New Roman" w:hAnsi="Times New Roman" w:cs="Times New Roman"/>
                <w:b/>
                <w:bCs/>
                <w:sz w:val="24"/>
                <w:szCs w:val="24"/>
              </w:rPr>
              <w:t>Tip aparat</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b/>
                <w:bCs/>
              </w:rPr>
            </w:pPr>
            <w:r w:rsidRPr="0085347B">
              <w:rPr>
                <w:rFonts w:ascii="Times New Roman" w:eastAsia="Times New Roman" w:hAnsi="Times New Roman" w:cs="Times New Roman"/>
                <w:b/>
                <w:bCs/>
                <w:sz w:val="24"/>
                <w:szCs w:val="24"/>
              </w:rPr>
              <w:t>Puncte</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b/>
                <w:bCs/>
              </w:rPr>
            </w:pPr>
            <w:r w:rsidRPr="0085347B">
              <w:rPr>
                <w:rFonts w:ascii="Times New Roman" w:eastAsia="Times New Roman" w:hAnsi="Times New Roman" w:cs="Times New Roman"/>
                <w:b/>
                <w:bCs/>
                <w:sz w:val="24"/>
                <w:szCs w:val="24"/>
              </w:rPr>
              <w:t>Nr. maxim de proceduri/oră</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Aparate de electroterapie pentru 1 pacient (cu un canal) </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w:t>
            </w:r>
          </w:p>
        </w:tc>
      </w:tr>
      <w:tr w:rsidR="0085347B" w:rsidRPr="0085347B" w:rsidTr="00C67187">
        <w:trPr>
          <w:trHeight w:val="632"/>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Aparate de electroterapie pentru 2 pacienţi trataţi simultan (2 sau mai multe canale)  </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6</w:t>
            </w:r>
          </w:p>
        </w:tc>
      </w:tr>
      <w:tr w:rsidR="0085347B" w:rsidRPr="0085347B" w:rsidTr="00C67187">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Baie galvanică și alternantă</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w:t>
            </w:r>
          </w:p>
        </w:tc>
      </w:tr>
      <w:tr w:rsidR="0085347B" w:rsidRPr="0085347B" w:rsidTr="00C67187">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4.</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Aparate de magnetoterapie</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w:t>
            </w:r>
          </w:p>
        </w:tc>
      </w:tr>
      <w:tr w:rsidR="0085347B" w:rsidRPr="0085347B" w:rsidTr="00C67187">
        <w:trPr>
          <w:trHeight w:val="365"/>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5.</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Times New Roman" w:hAnsi="Times New Roman" w:cs="Times New Roman"/>
                <w:sz w:val="24"/>
                <w:szCs w:val="24"/>
              </w:rPr>
            </w:pPr>
            <w:r w:rsidRPr="0085347B">
              <w:rPr>
                <w:rFonts w:ascii="Times New Roman" w:hAnsi="Times New Roman" w:cs="Times New Roman"/>
                <w:sz w:val="24"/>
                <w:szCs w:val="24"/>
              </w:rPr>
              <w:t xml:space="preserve">Unde scurte </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w:t>
            </w:r>
          </w:p>
        </w:tc>
      </w:tr>
      <w:tr w:rsidR="0085347B" w:rsidRPr="0085347B" w:rsidTr="00C67187">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6.</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ESWT (unde de șoc)</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15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7.</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 xml:space="preserve">TECAR </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15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2</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 xml:space="preserve">  8.</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Aparate cu energie luminoasa (laserterapie  sub 900  mW, ultraviolete, infrarosii)</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5</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 xml:space="preserve">  9.</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 xml:space="preserve">Aparat laser continuu sau pulsat peste 900 mW </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15 punte/aparat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5</w:t>
            </w:r>
          </w:p>
        </w:tc>
      </w:tr>
      <w:tr w:rsidR="0085347B" w:rsidRPr="0085347B" w:rsidTr="00C67187">
        <w:trPr>
          <w:trHeight w:val="632"/>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10.</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Aparate de parafină sau termopack </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 aplicaţii/ canapea/pat/ oră</w:t>
            </w:r>
          </w:p>
        </w:tc>
      </w:tr>
      <w:tr w:rsidR="0085347B" w:rsidRPr="0085347B" w:rsidTr="00C67187">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11.</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Aparate pentru drenaj limfatic</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w:t>
            </w:r>
          </w:p>
        </w:tc>
      </w:tr>
      <w:tr w:rsidR="0085347B" w:rsidRPr="0085347B" w:rsidTr="00C67187">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12.</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Aparat pentru ultrasonoterapie</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5</w:t>
            </w:r>
          </w:p>
        </w:tc>
      </w:tr>
      <w:tr w:rsidR="0085347B" w:rsidRPr="0085347B" w:rsidTr="00C67187">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13.</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Aparat pentru aerosoli</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4</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14.</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Cadă de hidroterapie</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10 puncte/1 cadă</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15.</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Cadă de hidroterapie cu duş subacval sau cu bule</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20 puncte/1 cadă</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16.</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Dispozitive de duşuri terapeutice (scoţian, alternativ etc.)</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20 puncte/dispozitiv</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17.</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Echipament de elongaţie</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15 puncte/echipament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lastRenderedPageBreak/>
              <w:t>18.</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Covor rulant (echipament) pentru recuperarea mersului</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15 puncte/ echipament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w:t>
            </w:r>
          </w:p>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 </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19.</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Cicloergometru</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10 puncte/ echipament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w:t>
            </w:r>
          </w:p>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 </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20.</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Aparat pentru antrenarea echilibrului</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w:t>
            </w:r>
          </w:p>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 </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21.</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Aparat reabilitare mână</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22.</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Aparat reabilitare genunchi</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23.</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Aparat reabilitare gleznă</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24.</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Aparat multifuncțional pentru creșterea forței pe grupe musculare </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15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25.</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Bare paralele pentru reeducarea mersului</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10 puncte/ echipament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26.</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Cușcă Rocher</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15 puncte/ echipament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27.</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Platformă electrică de verticalizare la diverse unghiuri și încărcare procentuală a greutății</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20 puncte/ echipament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28.</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Covor rulant dotat cu echipament antigravitațional pentru reeducarea mersului</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20 puncte/ echipament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29.</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 xml:space="preserve">Aparat subacvatic de mobilitate și forță </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Calibri" w:eastAsia="Times New Roman" w:hAnsi="Calibri" w:cs="Calibri"/>
              </w:rPr>
            </w:pPr>
            <w:r w:rsidRPr="0085347B">
              <w:rPr>
                <w:rFonts w:ascii="Times New Roman" w:eastAsia="Times New Roman" w:hAnsi="Times New Roman" w:cs="Times New Roman"/>
                <w:sz w:val="24"/>
                <w:szCs w:val="24"/>
              </w:rPr>
              <w:t>30.</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Calibri" w:eastAsia="Times New Roman" w:hAnsi="Calibri" w:cs="Calibri"/>
              </w:rPr>
            </w:pPr>
            <w:r w:rsidRPr="0085347B">
              <w:rPr>
                <w:rFonts w:ascii="Times New Roman" w:eastAsia="Times New Roman" w:hAnsi="Times New Roman" w:cs="Times New Roman"/>
                <w:sz w:val="24"/>
                <w:szCs w:val="24"/>
              </w:rPr>
              <w:t xml:space="preserve">Covor rulant subacvatic de mers </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30 puncte/ echipament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31.</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Dispozitive robotizate pentru reeducarea membrului superior, membrului inferior, mersului și echilibrului</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40 puncte/ dispozitiv</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2</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32.</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Aparat pentru respirație cu presiune pozitivă intermitentă</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15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2</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33.</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Dispozitiv mecanic pentru masaj pneumatic al extremităților</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w:t>
            </w:r>
          </w:p>
        </w:tc>
      </w:tr>
      <w:tr w:rsidR="0085347B" w:rsidRPr="0085347B" w:rsidTr="00C67187">
        <w:trPr>
          <w:trHeight w:val="418"/>
        </w:trPr>
        <w:tc>
          <w:tcPr>
            <w:tcW w:w="610"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both"/>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34.</w:t>
            </w:r>
          </w:p>
        </w:tc>
        <w:tc>
          <w:tcPr>
            <w:tcW w:w="505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rPr>
                <w:rFonts w:ascii="Times New Roman" w:eastAsia="Times New Roman" w:hAnsi="Times New Roman" w:cs="Times New Roman"/>
                <w:sz w:val="24"/>
                <w:szCs w:val="24"/>
              </w:rPr>
            </w:pPr>
            <w:r w:rsidRPr="0085347B">
              <w:rPr>
                <w:rFonts w:ascii="Times New Roman" w:eastAsia="Times New Roman" w:hAnsi="Times New Roman" w:cs="Times New Roman"/>
                <w:sz w:val="24"/>
                <w:szCs w:val="24"/>
              </w:rPr>
              <w:t>Aparat pentru crioterapie</w:t>
            </w:r>
          </w:p>
        </w:tc>
        <w:tc>
          <w:tcPr>
            <w:tcW w:w="2442"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85347B" w:rsidRPr="0085347B" w:rsidRDefault="0085347B" w:rsidP="00C67187">
            <w:pPr>
              <w:widowControl w:val="0"/>
              <w:spacing w:after="0" w:line="240" w:lineRule="auto"/>
              <w:jc w:val="center"/>
              <w:rPr>
                <w:rFonts w:ascii="Calibri" w:eastAsia="Times New Roman" w:hAnsi="Calibri" w:cs="Calibri"/>
              </w:rPr>
            </w:pPr>
            <w:r w:rsidRPr="0085347B">
              <w:rPr>
                <w:rFonts w:ascii="Times New Roman" w:eastAsia="Times New Roman" w:hAnsi="Times New Roman" w:cs="Times New Roman"/>
                <w:sz w:val="24"/>
                <w:szCs w:val="24"/>
              </w:rPr>
              <w:t>3</w:t>
            </w:r>
          </w:p>
        </w:tc>
      </w:tr>
    </w:tbl>
    <w:p w:rsidR="0085347B" w:rsidRPr="0085347B" w:rsidRDefault="0085347B" w:rsidP="0085347B">
      <w:pPr>
        <w:widowControl w:val="0"/>
        <w:spacing w:after="160" w:line="259" w:lineRule="auto"/>
        <w:jc w:val="both"/>
        <w:rPr>
          <w:rFonts w:ascii="Times New Roman" w:eastAsia="Calibri" w:hAnsi="Times New Roman" w:cs="Times New Roman"/>
          <w:sz w:val="24"/>
          <w:szCs w:val="16"/>
          <w:lang w:eastAsia="en-US"/>
        </w:rPr>
      </w:pPr>
      <w:r w:rsidRPr="0085347B">
        <w:rPr>
          <w:rFonts w:ascii="Times New Roman" w:eastAsia="Calibri" w:hAnsi="Times New Roman" w:cs="Times New Roman"/>
          <w:sz w:val="24"/>
          <w:szCs w:val="16"/>
          <w:lang w:eastAsia="en-US"/>
        </w:rPr>
        <w:t>Punctajul pentru fiecare aparat, conform celor de mai sus, se acordă pentru aparatele cu o vechime de până la 8 ani; pentru aparatele mai vechi de 8 ani dar nu mai mult de 12 ani, calculaţi de la data fabricării sau de la data recondiţionării (refurbisării), punctajul total al fiecărui aparat, pentru fiecare an în plus, se diminuează cu câte 20%</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Vechimile de 8 ani, respectiv de 12 ani, reprezintă limita minimă şi limita maximă prevăzute pentru durata normală de funcţionare conform Hotărârii Guvernului nr. 2139/2004, cu modificările şi completările ulterioare, pentru aprobarea Catalogului privind clasificarea şi duratele normale de funcţionare a mijloacelor fixe, cu modificările ulterioare.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p>
    <w:tbl>
      <w:tblPr>
        <w:tblStyle w:val="TableGrid13"/>
        <w:tblW w:w="9747" w:type="dxa"/>
        <w:tblLayout w:type="fixed"/>
        <w:tblLook w:val="04A0"/>
      </w:tblPr>
      <w:tblGrid>
        <w:gridCol w:w="624"/>
        <w:gridCol w:w="2448"/>
        <w:gridCol w:w="1561"/>
        <w:gridCol w:w="1210"/>
        <w:gridCol w:w="2348"/>
        <w:gridCol w:w="1556"/>
      </w:tblGrid>
      <w:tr w:rsidR="0085347B" w:rsidRPr="0085347B" w:rsidTr="00C67187">
        <w:tc>
          <w:tcPr>
            <w:tcW w:w="623"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Nr. crt.</w:t>
            </w:r>
          </w:p>
        </w:tc>
        <w:tc>
          <w:tcPr>
            <w:tcW w:w="2448"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Denumire aparat</w:t>
            </w:r>
          </w:p>
        </w:tc>
        <w:tc>
          <w:tcPr>
            <w:tcW w:w="1561"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Număr canale</w:t>
            </w:r>
          </w:p>
        </w:tc>
        <w:tc>
          <w:tcPr>
            <w:tcW w:w="1210"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An fabricaţie</w:t>
            </w:r>
          </w:p>
        </w:tc>
        <w:tc>
          <w:tcPr>
            <w:tcW w:w="2348"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Total puncte/ aparat</w:t>
            </w:r>
          </w:p>
        </w:tc>
        <w:tc>
          <w:tcPr>
            <w:tcW w:w="1556"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Total proceduri pe oră/aparat</w:t>
            </w:r>
          </w:p>
        </w:tc>
      </w:tr>
      <w:tr w:rsidR="0085347B" w:rsidRPr="0085347B" w:rsidTr="00C67187">
        <w:tc>
          <w:tcPr>
            <w:tcW w:w="623"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1</w:t>
            </w:r>
          </w:p>
        </w:tc>
        <w:tc>
          <w:tcPr>
            <w:tcW w:w="2448"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2</w:t>
            </w:r>
          </w:p>
        </w:tc>
        <w:tc>
          <w:tcPr>
            <w:tcW w:w="1561"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3</w:t>
            </w:r>
          </w:p>
        </w:tc>
        <w:tc>
          <w:tcPr>
            <w:tcW w:w="1210"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4</w:t>
            </w:r>
          </w:p>
        </w:tc>
        <w:tc>
          <w:tcPr>
            <w:tcW w:w="2348"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5</w:t>
            </w:r>
          </w:p>
        </w:tc>
        <w:tc>
          <w:tcPr>
            <w:tcW w:w="1556"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6</w:t>
            </w:r>
          </w:p>
        </w:tc>
      </w:tr>
      <w:tr w:rsidR="0085347B" w:rsidRPr="0085347B" w:rsidTr="00C67187">
        <w:tc>
          <w:tcPr>
            <w:tcW w:w="623"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2448"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1561"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1210"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2348"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1556" w:type="dxa"/>
          </w:tcPr>
          <w:p w:rsidR="0085347B" w:rsidRPr="0085347B" w:rsidRDefault="0085347B" w:rsidP="00C67187">
            <w:pPr>
              <w:spacing w:after="0" w:line="240" w:lineRule="auto"/>
              <w:jc w:val="both"/>
              <w:rPr>
                <w:rFonts w:ascii="Times New Roman" w:hAnsi="Times New Roman" w:cs="Times New Roman"/>
                <w:sz w:val="24"/>
                <w:szCs w:val="24"/>
              </w:rPr>
            </w:pPr>
          </w:p>
        </w:tc>
      </w:tr>
      <w:tr w:rsidR="0085347B" w:rsidRPr="0085347B" w:rsidTr="00C67187">
        <w:tc>
          <w:tcPr>
            <w:tcW w:w="623"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2448"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1561"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1210"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2348"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1556" w:type="dxa"/>
          </w:tcPr>
          <w:p w:rsidR="0085347B" w:rsidRPr="0085347B" w:rsidRDefault="0085347B" w:rsidP="00C67187">
            <w:pPr>
              <w:spacing w:after="0" w:line="240" w:lineRule="auto"/>
              <w:jc w:val="both"/>
              <w:rPr>
                <w:rFonts w:ascii="Times New Roman" w:hAnsi="Times New Roman" w:cs="Times New Roman"/>
                <w:sz w:val="24"/>
                <w:szCs w:val="24"/>
              </w:rPr>
            </w:pPr>
          </w:p>
        </w:tc>
      </w:tr>
    </w:tbl>
    <w:p w:rsidR="0085347B" w:rsidRPr="0085347B" w:rsidRDefault="0085347B" w:rsidP="0085347B">
      <w:pPr>
        <w:spacing w:after="0" w:line="240" w:lineRule="auto"/>
        <w:jc w:val="both"/>
        <w:rPr>
          <w:rFonts w:ascii="Times New Roman" w:eastAsia="Calibri" w:hAnsi="Times New Roman" w:cs="Times New Roman"/>
          <w:sz w:val="24"/>
          <w:szCs w:val="24"/>
          <w:lang w:val="en-US" w:eastAsia="en-US"/>
        </w:rPr>
      </w:pPr>
      <w:r w:rsidRPr="0085347B">
        <w:rPr>
          <w:rFonts w:ascii="Times New Roman" w:eastAsia="Calibri" w:hAnsi="Times New Roman" w:cs="Times New Roman"/>
          <w:sz w:val="12"/>
          <w:szCs w:val="12"/>
          <w:lang w:val="en-US" w:eastAsia="en-US"/>
        </w:rPr>
        <w:t xml:space="preserve">                                                                                                       </w:t>
      </w:r>
      <w:r w:rsidRPr="0085347B">
        <w:rPr>
          <w:rFonts w:ascii="Times New Roman" w:eastAsia="Calibri" w:hAnsi="Times New Roman" w:cs="Times New Roman"/>
          <w:sz w:val="24"/>
          <w:szCs w:val="24"/>
          <w:lang w:val="en-US" w:eastAsia="en-US"/>
        </w:rPr>
        <w:t>TOTAL PUNCTE: ........</w:t>
      </w:r>
    </w:p>
    <w:p w:rsidR="0085347B" w:rsidRPr="0085347B" w:rsidRDefault="0085347B" w:rsidP="0085347B">
      <w:pPr>
        <w:spacing w:after="0" w:line="240" w:lineRule="auto"/>
        <w:jc w:val="both"/>
        <w:rPr>
          <w:rFonts w:ascii="Times New Roman" w:eastAsia="Calibri" w:hAnsi="Times New Roman" w:cs="Times New Roman"/>
          <w:sz w:val="12"/>
          <w:szCs w:val="12"/>
          <w:lang w:val="en-US" w:eastAsia="en-US"/>
        </w:rPr>
      </w:pPr>
    </w:p>
    <w:p w:rsid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w:t>
      </w:r>
    </w:p>
    <w:p w:rsidR="0085347B" w:rsidRDefault="0085347B" w:rsidP="0085347B">
      <w:pPr>
        <w:spacing w:after="0" w:line="240" w:lineRule="auto"/>
        <w:jc w:val="both"/>
        <w:rPr>
          <w:rFonts w:ascii="Times New Roman" w:eastAsia="Calibri" w:hAnsi="Times New Roman" w:cs="Times New Roman"/>
          <w:sz w:val="24"/>
          <w:szCs w:val="24"/>
          <w:lang w:eastAsia="en-US"/>
        </w:rPr>
      </w:pPr>
    </w:p>
    <w:p w:rsidR="0085347B" w:rsidRDefault="0085347B" w:rsidP="0085347B">
      <w:pPr>
        <w:spacing w:after="0" w:line="240" w:lineRule="auto"/>
        <w:jc w:val="both"/>
        <w:rPr>
          <w:rFonts w:ascii="Times New Roman" w:eastAsia="Calibri" w:hAnsi="Times New Roman" w:cs="Times New Roman"/>
          <w:sz w:val="24"/>
          <w:szCs w:val="24"/>
          <w:lang w:eastAsia="en-US"/>
        </w:rPr>
      </w:pP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NOTA 1: La contractare, se va ţine cont de: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a) numărul maxim de proceduri care pot fi efectuate pe fiecare aparat/oră, conform tabelului de mai sus;</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b) numărul maxim de proceduri/oră posibil de efectuat în cadrul programului de lucru de către asistentul de balneofizioterapie cu pregătire superioară sau medie de specialitate, asistentul medical de balneofiziokinetoterapie şi recuperare, precum și de către fizioterapeutul care îşi desfăşoară activitatea într-o formă legală la furnizor, indiferent de forma de organizare a furnizorului, este de 10 proceduri/oră; numărul maxim de proceduri/oră posibil de efectuat în cadrul programului de lucru de către maseuri şi băieşi care îşi desfăşoară activitatea într-o formă legală la furnizor, indiferent de forma de organizare a furnizorului, este de 4 proceduri/oră.</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În situaţia în care, numărul maxim de proceduri prevăzut la lit. b) este mai mic decât cel prevăzut la lit. a), punctajul total aferent lit. A.1 se înmulţeşte cu raportul calculat între numărul de proceduri de la lit. b) şi numărul de proceduri de la lit. a).</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În situaţia în care, numărul maxim de proceduri prevăzut la lit. b) este mai mare decât cel prevăzut la lit. a), se acordă punctajul aferent lit. A. 1.</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NOTA 2:</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In cazul aparatelor de terapie combinata, acestea vor fi punctate pentru două funcții ce pot fi realizate concomitent, indiferent de numărul și tipurile funcțiilor din fișa tehnică, fiind punctate două funcții, cu punctajul cel mai mare.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NOTA 3: </w:t>
      </w:r>
    </w:p>
    <w:p w:rsid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Punctajele pentru lit. A 1 se acordă numai pentru încadrarea cu personal de specialitate.  </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p>
    <w:p w:rsidR="0085347B" w:rsidRPr="0085347B" w:rsidRDefault="0085347B" w:rsidP="0085347B">
      <w:pPr>
        <w:spacing w:after="0" w:line="240" w:lineRule="auto"/>
        <w:jc w:val="both"/>
        <w:rPr>
          <w:rFonts w:ascii="Times New Roman" w:eastAsia="Calibri" w:hAnsi="Times New Roman" w:cs="Times New Roman"/>
          <w:b/>
          <w:sz w:val="24"/>
          <w:szCs w:val="24"/>
          <w:lang w:eastAsia="en-US"/>
        </w:rPr>
      </w:pPr>
      <w:r w:rsidRPr="0085347B">
        <w:rPr>
          <w:rFonts w:ascii="Times New Roman" w:eastAsia="Calibri" w:hAnsi="Times New Roman" w:cs="Times New Roman"/>
          <w:b/>
          <w:sz w:val="24"/>
          <w:szCs w:val="24"/>
          <w:lang w:eastAsia="en-US"/>
        </w:rPr>
        <w:t xml:space="preserve">    A.2. Evaluarea sălii de kinetoterapie: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 Suprafaţa utilă a sălii este între 8 - 15 mp şi dotare corespunzătoare conform Ordinului MSP 153/2003, cu modificările şi completările ulterioare, pentru aprobarea Normelor metodologice privind înfiinţarea, organizarea şi funcţionarea cabinetelor medicale = 10 puncte; pentru kinetoterapie de grup numărul maxim de pacienţi este 3 şi minim un fizioterapeut/asistent medical de balneofiziokinetoterapie şi recuperare/tură/</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 Suprafaţa utilă a sălii este între 16 - 30 mp şi dotare corespunzătoare conform Ordinului MSP 153/2003, cu modificările şi completările ulterioare pentru aprobarea Normelor metodologice privind înfiinţarea, organizarea şi funcţionarea cabinetelor medicale = 40 puncte; pentru kinetoterapie de grup numărul maxim de pacienţi este 6 şi minim un fizioterapeut/asistent medical de balneofiziokinetoterapie şi recuperare/tură.</w:t>
      </w:r>
    </w:p>
    <w:p w:rsid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 Suprafaţa utilă a sălii este de peste 30 mp, folosită exclusiv pentru furnizarea de servicii de kinetoterapie şi dotare superioară faţă de prevederile Ordinului MSP 153/2003, cu modificările şi completările ulterioare = 60 puncte; pentru kinetoterapie de grup numărul maxim de pacienţi este 8 indiferent de mărimea sălii şi minim doi fizioterapeuţi/asistenţi medicali de balneofiziokinetoterapie şi recuperare/tură.</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p>
    <w:p w:rsidR="0085347B" w:rsidRPr="0085347B" w:rsidRDefault="0085347B" w:rsidP="0085347B">
      <w:pPr>
        <w:spacing w:after="0" w:line="240" w:lineRule="auto"/>
        <w:jc w:val="both"/>
        <w:rPr>
          <w:rFonts w:ascii="Times New Roman" w:eastAsia="Calibri" w:hAnsi="Times New Roman" w:cs="Times New Roman"/>
          <w:b/>
          <w:sz w:val="24"/>
          <w:szCs w:val="24"/>
          <w:lang w:eastAsia="en-US"/>
        </w:rPr>
      </w:pPr>
      <w:r w:rsidRPr="0085347B">
        <w:rPr>
          <w:rFonts w:ascii="Times New Roman" w:eastAsia="Calibri" w:hAnsi="Times New Roman" w:cs="Times New Roman"/>
          <w:b/>
          <w:sz w:val="24"/>
          <w:szCs w:val="24"/>
          <w:lang w:eastAsia="en-US"/>
        </w:rPr>
        <w:t xml:space="preserve">    A.3. Evaluarea bazinului de hidrokinetoterapie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 volumul bazinului de hidrokinetoterapie este între 30 - 40 mc şi are dotarea corespunzătoare actelor normative în vigoare = 16 puncte şi minim un fizioterapeut/asistent medical de balneofiziokinetoterapie şi recuperare/tură;</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volumul bazinului de hidrokinetoterapie este între 40 - 60 mc şi are dotarea corespunzătoare actelor normative în vigoare = 30 puncte şi minim un fizioterapeut/asistent medical de balneofiziokinetoterapie şi recuperare/tură;</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lastRenderedPageBreak/>
        <w:t>- volumul bazinului de hidrokinetoterapie este de peste 60 mc şi are dotarea corespunzătoare actelor normative în vigoare = 40 puncte şi minim doi fizioterapeuţi/asistenţi medicali de balneofiziokinetoterapie şi recuperare/tură.</w:t>
      </w:r>
    </w:p>
    <w:p w:rsid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TOTAL puncte resurse tehnice .....................</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NOTA 1: Sala de kinetoterapie şi bazinul de hidrokinetoterapie se punctează numai dacă la furnizor îşi desfăşoară activitatea cel puţin un fizioterapeut/asistent medical de balneofiziokinetoterapie şi recuperare/în funcţie de dimensiunile sălii/bazinului. Punctajele pentru lit. A.2 şi A.3 se acordă pentru încadrarea cu personal de specialitate (un fizioterapeut/asistent medical de balneofiziokinetoterapie şi recuperare) pentru o normă întreagă (7 ore). Pentru fracţiuni de normă, punctajele aferente lit. A.2 şi A.3 se ajustează proporţional.</w:t>
      </w:r>
    </w:p>
    <w:p w:rsid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NOTA 2: Nu se punctează bazinele de hidrokinetoterapie care se utilizează şi pentru alte activităţi în afara celor strict medicale care se contractează cu casa de asigurări de sănătate.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p>
    <w:p w:rsidR="0085347B" w:rsidRPr="0085347B" w:rsidRDefault="0085347B" w:rsidP="0085347B">
      <w:pPr>
        <w:spacing w:after="0" w:line="240" w:lineRule="auto"/>
        <w:jc w:val="both"/>
        <w:rPr>
          <w:rFonts w:ascii="Times New Roman" w:eastAsia="Calibri" w:hAnsi="Times New Roman" w:cs="Times New Roman"/>
          <w:b/>
          <w:sz w:val="24"/>
          <w:szCs w:val="24"/>
          <w:lang w:eastAsia="en-US"/>
        </w:rPr>
      </w:pPr>
      <w:r w:rsidRPr="0085347B">
        <w:rPr>
          <w:rFonts w:ascii="Times New Roman" w:eastAsia="Calibri" w:hAnsi="Times New Roman" w:cs="Times New Roman"/>
          <w:b/>
          <w:sz w:val="24"/>
          <w:szCs w:val="24"/>
          <w:lang w:eastAsia="en-US"/>
        </w:rPr>
        <w:t xml:space="preserve">    B. Evaluarea resurselor umane: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Ponderea acestui criteriu este de 60%.</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Ca urmare a aplicării metodologiei de stabilire a punctajului, fiecare furnizor de servicii medicale de medicină fizică şi de reabilitare în ambulatoriu- obţine un punctaj corespunzător acestui criteriu.</w:t>
      </w:r>
    </w:p>
    <w:p w:rsid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Personalul este punctat proporţional cu timpul lucrat.</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p>
    <w:p w:rsid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Punctajul se acordă pentru fiecare angajat medico-sanitar cu normă întreagă, iar pentru cei cu normă parţială se acordă unităţi proporţionale cu fracţiunea de normă lucrată. Pentru personalul care depăşeşte o normă întreagă se acordă punctaj şi pentru fracţiunea de normă lucrată ce depăşeşte norma întreagă.</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Se consideră o normă întreagă astfel:</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 pentru un asistent balneofizioterapie, asistent medical de balneofiziokinetoterapie şi recuperare, maseur, băieş - 40 ore/săptămână (8 ore/zi x 5 zile/săptămână)</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 pentru un fizioterapeut - 35 ore/săptămână (7 ore/zi x 5 zile/săptămână)</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a. fizioterapeut - 15 puncte/1 normă</w:t>
      </w:r>
    </w:p>
    <w:tbl>
      <w:tblPr>
        <w:tblStyle w:val="TableGrid13"/>
        <w:tblW w:w="7196" w:type="dxa"/>
        <w:tblLayout w:type="fixed"/>
        <w:tblLook w:val="04A0"/>
      </w:tblPr>
      <w:tblGrid>
        <w:gridCol w:w="3217"/>
        <w:gridCol w:w="3979"/>
      </w:tblGrid>
      <w:tr w:rsidR="0085347B" w:rsidRPr="0085347B" w:rsidTr="00C67187">
        <w:tc>
          <w:tcPr>
            <w:tcW w:w="3217"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Nume şi prenume</w:t>
            </w:r>
          </w:p>
        </w:tc>
        <w:tc>
          <w:tcPr>
            <w:tcW w:w="3978"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Număr de ore</w:t>
            </w:r>
          </w:p>
        </w:tc>
      </w:tr>
      <w:tr w:rsidR="0085347B" w:rsidRPr="0085347B" w:rsidTr="00C67187">
        <w:tc>
          <w:tcPr>
            <w:tcW w:w="3217"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3978" w:type="dxa"/>
          </w:tcPr>
          <w:p w:rsidR="0085347B" w:rsidRPr="0085347B" w:rsidRDefault="0085347B" w:rsidP="00C67187">
            <w:pPr>
              <w:spacing w:after="0" w:line="240" w:lineRule="auto"/>
              <w:jc w:val="both"/>
              <w:rPr>
                <w:rFonts w:ascii="Times New Roman" w:hAnsi="Times New Roman" w:cs="Times New Roman"/>
                <w:sz w:val="24"/>
                <w:szCs w:val="24"/>
              </w:rPr>
            </w:pPr>
          </w:p>
        </w:tc>
      </w:tr>
      <w:tr w:rsidR="0085347B" w:rsidRPr="0085347B" w:rsidTr="00C67187">
        <w:tc>
          <w:tcPr>
            <w:tcW w:w="3217"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3978" w:type="dxa"/>
          </w:tcPr>
          <w:p w:rsidR="0085347B" w:rsidRPr="0085347B" w:rsidRDefault="0085347B" w:rsidP="00C67187">
            <w:pPr>
              <w:spacing w:after="0" w:line="240" w:lineRule="auto"/>
              <w:jc w:val="both"/>
              <w:rPr>
                <w:rFonts w:ascii="Times New Roman" w:hAnsi="Times New Roman" w:cs="Times New Roman"/>
                <w:sz w:val="24"/>
                <w:szCs w:val="24"/>
              </w:rPr>
            </w:pPr>
          </w:p>
        </w:tc>
      </w:tr>
    </w:tbl>
    <w:p w:rsidR="0085347B" w:rsidRPr="0085347B" w:rsidRDefault="0085347B" w:rsidP="0085347B">
      <w:pPr>
        <w:spacing w:after="0" w:line="240" w:lineRule="auto"/>
        <w:jc w:val="both"/>
        <w:rPr>
          <w:rFonts w:ascii="Times New Roman" w:eastAsia="Calibri" w:hAnsi="Times New Roman" w:cs="Times New Roman"/>
          <w:sz w:val="24"/>
          <w:szCs w:val="24"/>
          <w:lang w:eastAsia="en-US"/>
        </w:rPr>
      </w:pP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b.  asistent balneofizioterapie/asistent medical de balneofiziokinetoterapie si recuperare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- 10 puncte/1 normă</w:t>
      </w:r>
    </w:p>
    <w:tbl>
      <w:tblPr>
        <w:tblStyle w:val="TableGrid13"/>
        <w:tblW w:w="7196" w:type="dxa"/>
        <w:tblLayout w:type="fixed"/>
        <w:tblLook w:val="04A0"/>
      </w:tblPr>
      <w:tblGrid>
        <w:gridCol w:w="3217"/>
        <w:gridCol w:w="3979"/>
      </w:tblGrid>
      <w:tr w:rsidR="0085347B" w:rsidRPr="0085347B" w:rsidTr="00C67187">
        <w:tc>
          <w:tcPr>
            <w:tcW w:w="3217"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Nume şi prenume</w:t>
            </w:r>
          </w:p>
        </w:tc>
        <w:tc>
          <w:tcPr>
            <w:tcW w:w="3978"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Număr de ore</w:t>
            </w:r>
          </w:p>
        </w:tc>
      </w:tr>
      <w:tr w:rsidR="0085347B" w:rsidRPr="0085347B" w:rsidTr="00C67187">
        <w:tc>
          <w:tcPr>
            <w:tcW w:w="3217"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3978" w:type="dxa"/>
          </w:tcPr>
          <w:p w:rsidR="0085347B" w:rsidRPr="0085347B" w:rsidRDefault="0085347B" w:rsidP="00C67187">
            <w:pPr>
              <w:spacing w:after="0" w:line="240" w:lineRule="auto"/>
              <w:jc w:val="both"/>
              <w:rPr>
                <w:rFonts w:ascii="Times New Roman" w:hAnsi="Times New Roman" w:cs="Times New Roman"/>
                <w:sz w:val="24"/>
                <w:szCs w:val="24"/>
              </w:rPr>
            </w:pPr>
          </w:p>
        </w:tc>
      </w:tr>
    </w:tbl>
    <w:p w:rsidR="0085347B" w:rsidRPr="0085347B" w:rsidRDefault="0085347B" w:rsidP="0085347B">
      <w:pPr>
        <w:spacing w:after="0" w:line="240" w:lineRule="auto"/>
        <w:jc w:val="both"/>
        <w:rPr>
          <w:rFonts w:ascii="Times New Roman" w:eastAsia="Calibri" w:hAnsi="Times New Roman" w:cs="Times New Roman"/>
          <w:sz w:val="24"/>
          <w:szCs w:val="24"/>
          <w:lang w:eastAsia="en-US"/>
        </w:rPr>
      </w:pP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c. maseur - 10 puncte/1 normă</w:t>
      </w:r>
    </w:p>
    <w:tbl>
      <w:tblPr>
        <w:tblStyle w:val="TableGrid13"/>
        <w:tblW w:w="7196" w:type="dxa"/>
        <w:tblLayout w:type="fixed"/>
        <w:tblLook w:val="04A0"/>
      </w:tblPr>
      <w:tblGrid>
        <w:gridCol w:w="3225"/>
        <w:gridCol w:w="2269"/>
        <w:gridCol w:w="1702"/>
      </w:tblGrid>
      <w:tr w:rsidR="0085347B" w:rsidRPr="0085347B" w:rsidTr="00C67187">
        <w:tc>
          <w:tcPr>
            <w:tcW w:w="3225"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Nume şi prenume</w:t>
            </w:r>
          </w:p>
        </w:tc>
        <w:tc>
          <w:tcPr>
            <w:tcW w:w="2269"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Număr de ore</w:t>
            </w:r>
          </w:p>
        </w:tc>
        <w:tc>
          <w:tcPr>
            <w:tcW w:w="1702"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Punctaj</w:t>
            </w:r>
          </w:p>
          <w:p w:rsidR="0085347B" w:rsidRPr="0085347B" w:rsidRDefault="0085347B" w:rsidP="00C67187">
            <w:pPr>
              <w:spacing w:after="0" w:line="240" w:lineRule="auto"/>
              <w:jc w:val="both"/>
              <w:rPr>
                <w:rFonts w:ascii="Times New Roman" w:hAnsi="Times New Roman" w:cs="Times New Roman"/>
                <w:sz w:val="24"/>
                <w:szCs w:val="24"/>
              </w:rPr>
            </w:pPr>
          </w:p>
        </w:tc>
      </w:tr>
      <w:tr w:rsidR="0085347B" w:rsidRPr="0085347B" w:rsidTr="00C67187">
        <w:tc>
          <w:tcPr>
            <w:tcW w:w="3225"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2269"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1702" w:type="dxa"/>
          </w:tcPr>
          <w:p w:rsidR="0085347B" w:rsidRPr="0085347B" w:rsidRDefault="0085347B" w:rsidP="00C67187">
            <w:pPr>
              <w:spacing w:after="0" w:line="240" w:lineRule="auto"/>
              <w:jc w:val="both"/>
              <w:rPr>
                <w:rFonts w:ascii="Times New Roman" w:hAnsi="Times New Roman" w:cs="Times New Roman"/>
                <w:sz w:val="24"/>
                <w:szCs w:val="24"/>
              </w:rPr>
            </w:pPr>
          </w:p>
        </w:tc>
      </w:tr>
    </w:tbl>
    <w:p w:rsidR="0085347B" w:rsidRPr="0085347B" w:rsidRDefault="0085347B" w:rsidP="0085347B">
      <w:pPr>
        <w:spacing w:after="0" w:line="240" w:lineRule="auto"/>
        <w:jc w:val="both"/>
        <w:rPr>
          <w:rFonts w:ascii="Times New Roman" w:eastAsia="Calibri" w:hAnsi="Times New Roman" w:cs="Times New Roman"/>
          <w:sz w:val="24"/>
          <w:szCs w:val="24"/>
          <w:lang w:eastAsia="en-US"/>
        </w:rPr>
      </w:pP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d. băieş - 10 puncte/1 normă</w:t>
      </w:r>
    </w:p>
    <w:tbl>
      <w:tblPr>
        <w:tblStyle w:val="TableGrid13"/>
        <w:tblW w:w="7196" w:type="dxa"/>
        <w:tblLayout w:type="fixed"/>
        <w:tblLook w:val="04A0"/>
      </w:tblPr>
      <w:tblGrid>
        <w:gridCol w:w="3035"/>
        <w:gridCol w:w="4161"/>
      </w:tblGrid>
      <w:tr w:rsidR="0085347B" w:rsidRPr="0085347B" w:rsidTr="00C67187">
        <w:tc>
          <w:tcPr>
            <w:tcW w:w="3035"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Nume şi prenume</w:t>
            </w:r>
          </w:p>
        </w:tc>
        <w:tc>
          <w:tcPr>
            <w:tcW w:w="4160" w:type="dxa"/>
          </w:tcPr>
          <w:p w:rsidR="0085347B" w:rsidRPr="0085347B" w:rsidRDefault="0085347B" w:rsidP="00C67187">
            <w:pPr>
              <w:spacing w:after="0" w:line="240" w:lineRule="auto"/>
              <w:jc w:val="both"/>
              <w:rPr>
                <w:rFonts w:ascii="Times New Roman" w:hAnsi="Times New Roman" w:cs="Times New Roman"/>
                <w:sz w:val="24"/>
                <w:szCs w:val="24"/>
              </w:rPr>
            </w:pPr>
            <w:r w:rsidRPr="0085347B">
              <w:rPr>
                <w:rFonts w:ascii="Times New Roman" w:eastAsia="Calibri" w:hAnsi="Times New Roman" w:cs="Times New Roman"/>
                <w:sz w:val="24"/>
                <w:szCs w:val="24"/>
              </w:rPr>
              <w:t>Număr de ore</w:t>
            </w:r>
          </w:p>
        </w:tc>
      </w:tr>
      <w:tr w:rsidR="0085347B" w:rsidRPr="0085347B" w:rsidTr="00C67187">
        <w:tc>
          <w:tcPr>
            <w:tcW w:w="3035" w:type="dxa"/>
          </w:tcPr>
          <w:p w:rsidR="0085347B" w:rsidRPr="0085347B" w:rsidRDefault="0085347B" w:rsidP="00C67187">
            <w:pPr>
              <w:spacing w:after="0" w:line="240" w:lineRule="auto"/>
              <w:jc w:val="both"/>
              <w:rPr>
                <w:rFonts w:ascii="Times New Roman" w:hAnsi="Times New Roman" w:cs="Times New Roman"/>
                <w:sz w:val="24"/>
                <w:szCs w:val="24"/>
              </w:rPr>
            </w:pPr>
          </w:p>
        </w:tc>
        <w:tc>
          <w:tcPr>
            <w:tcW w:w="4160" w:type="dxa"/>
          </w:tcPr>
          <w:p w:rsidR="0085347B" w:rsidRPr="0085347B" w:rsidRDefault="0085347B" w:rsidP="00C67187">
            <w:pPr>
              <w:spacing w:after="0" w:line="240" w:lineRule="auto"/>
              <w:jc w:val="both"/>
              <w:rPr>
                <w:rFonts w:ascii="Times New Roman" w:hAnsi="Times New Roman" w:cs="Times New Roman"/>
                <w:sz w:val="24"/>
                <w:szCs w:val="24"/>
              </w:rPr>
            </w:pPr>
          </w:p>
        </w:tc>
      </w:tr>
    </w:tbl>
    <w:p w:rsidR="0085347B" w:rsidRPr="0085347B" w:rsidRDefault="0085347B" w:rsidP="0085347B">
      <w:pPr>
        <w:spacing w:after="0" w:line="240" w:lineRule="auto"/>
        <w:jc w:val="both"/>
        <w:rPr>
          <w:rFonts w:ascii="Times New Roman" w:eastAsia="Calibri" w:hAnsi="Times New Roman" w:cs="Times New Roman"/>
          <w:sz w:val="24"/>
          <w:szCs w:val="24"/>
          <w:lang w:eastAsia="en-US"/>
        </w:rPr>
      </w:pP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TOTAL PUNCTE ..................</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Program de activitate săptămânal al furnizorului/punctului de lucru - 7 ore/zi:</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- 5 zile/săptămână = 2 puncte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Peste 5 zile/săptămână = câte 1 punct pentru fiecare zi în plus</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 Pentru 2 x 7 ore/5 zile pe săptămână = 5 puncte</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- 5 zile/săptămână/mai mult de 7 ore pe zi şi mai puţin de 14 ore pe zi = punctaj proporţional cu programul de activitate declarat</w:t>
      </w:r>
    </w:p>
    <w:p w:rsid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TOTAL puncte ........................</w:t>
      </w:r>
    </w:p>
    <w:p w:rsidR="0085347B" w:rsidRDefault="0085347B" w:rsidP="0085347B">
      <w:pPr>
        <w:spacing w:after="0" w:line="240" w:lineRule="auto"/>
        <w:jc w:val="both"/>
        <w:rPr>
          <w:rFonts w:ascii="Times New Roman" w:eastAsia="Calibri" w:hAnsi="Times New Roman" w:cs="Times New Roman"/>
          <w:sz w:val="24"/>
          <w:szCs w:val="24"/>
          <w:lang w:eastAsia="en-US"/>
        </w:rPr>
      </w:pP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Pentru fiecare criteriu se stabileşte numărul total de puncte obţinut prin însumarea numărului de puncte obţinut de fiecare furnizor.</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Se calculează valoarea unui punct pentru fiecare criteriu prin împărţirea sumei rezultate ca urmare a aplicării procentelor corespunzătoare fiecărui criteriu la numărul de puncte obţinut la fiecare criteriu.</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Valoarea unui punct obţinută pentru fiecare dintre criterii se înmulţeşte cu numărul de puncte obţinut de un furnizor corespunzător fiecărui criteriu, rezultând sumele aferente fiecărui criteriu pentru fiecare furnizor.</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Valoarea totală contractată de un furnizor cu casa de asigurări de sănătate se obţine prin însumarea sumelor stabilite pentru fiecare criteriu.</w:t>
      </w:r>
    </w:p>
    <w:p w:rsidR="0085347B" w:rsidRPr="0085347B" w:rsidRDefault="0085347B" w:rsidP="0085347B">
      <w:pPr>
        <w:spacing w:after="0" w:line="240" w:lineRule="auto"/>
        <w:jc w:val="both"/>
        <w:rPr>
          <w:rFonts w:ascii="Times New Roman" w:eastAsia="Calibri" w:hAnsi="Times New Roman" w:cs="Times New Roman"/>
          <w:sz w:val="24"/>
          <w:szCs w:val="24"/>
          <w:lang w:eastAsia="en-US"/>
        </w:rPr>
      </w:pPr>
      <w:r w:rsidRPr="0085347B">
        <w:rPr>
          <w:rFonts w:ascii="Times New Roman" w:eastAsia="Calibri" w:hAnsi="Times New Roman" w:cs="Times New Roman"/>
          <w:sz w:val="24"/>
          <w:szCs w:val="24"/>
          <w:lang w:eastAsia="en-US"/>
        </w:rPr>
        <w:t xml:space="preserve">    Punctajul obţinut de fiecare furnizor corespunzător fiecărui criteriu se afişează pe pagina web a casei de asigurări de sănătate.</w:t>
      </w:r>
    </w:p>
    <w:p w:rsidR="005A3D7F" w:rsidRDefault="005A3D7F"/>
    <w:sectPr w:rsidR="005A3D7F" w:rsidSect="005A3D7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AA" w:rsidRDefault="002C30AA" w:rsidP="0085347B">
      <w:pPr>
        <w:spacing w:after="0" w:line="240" w:lineRule="auto"/>
      </w:pPr>
      <w:r>
        <w:separator/>
      </w:r>
    </w:p>
  </w:endnote>
  <w:endnote w:type="continuationSeparator" w:id="0">
    <w:p w:rsidR="002C30AA" w:rsidRDefault="002C30AA" w:rsidP="00853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73549"/>
      <w:docPartObj>
        <w:docPartGallery w:val="Page Numbers (Bottom of Page)"/>
        <w:docPartUnique/>
      </w:docPartObj>
    </w:sdtPr>
    <w:sdtContent>
      <w:p w:rsidR="0085347B" w:rsidRDefault="0085347B">
        <w:pPr>
          <w:pStyle w:val="Footer"/>
          <w:jc w:val="center"/>
        </w:pPr>
        <w:fldSimple w:instr=" PAGE   \* MERGEFORMAT ">
          <w:r w:rsidR="003C3EB6">
            <w:rPr>
              <w:noProof/>
            </w:rPr>
            <w:t>6</w:t>
          </w:r>
        </w:fldSimple>
      </w:p>
    </w:sdtContent>
  </w:sdt>
  <w:p w:rsidR="0085347B" w:rsidRDefault="00853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AA" w:rsidRDefault="002C30AA" w:rsidP="0085347B">
      <w:pPr>
        <w:spacing w:after="0" w:line="240" w:lineRule="auto"/>
      </w:pPr>
      <w:r>
        <w:separator/>
      </w:r>
    </w:p>
  </w:footnote>
  <w:footnote w:type="continuationSeparator" w:id="0">
    <w:p w:rsidR="002C30AA" w:rsidRDefault="002C30AA" w:rsidP="008534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5347B"/>
    <w:rsid w:val="002C30AA"/>
    <w:rsid w:val="003C3EB6"/>
    <w:rsid w:val="005A3D7F"/>
    <w:rsid w:val="0085347B"/>
    <w:rsid w:val="00C04E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7B"/>
    <w:pPr>
      <w:suppressAutoHyphens/>
      <w:spacing w:after="200" w:line="276" w:lineRule="auto"/>
      <w:jc w:val="left"/>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rsid w:val="0085347B"/>
    <w:pPr>
      <w:suppressAutoHyphens/>
      <w:jc w:val="left"/>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5347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5347B"/>
    <w:rPr>
      <w:rFonts w:eastAsiaTheme="minorEastAsia"/>
      <w:lang w:eastAsia="ro-RO"/>
    </w:rPr>
  </w:style>
  <w:style w:type="paragraph" w:styleId="Footer">
    <w:name w:val="footer"/>
    <w:basedOn w:val="Normal"/>
    <w:link w:val="FooterChar"/>
    <w:uiPriority w:val="99"/>
    <w:unhideWhenUsed/>
    <w:rsid w:val="008534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47B"/>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2221</Words>
  <Characters>12886</Characters>
  <Application>Microsoft Office Word</Application>
  <DocSecurity>0</DocSecurity>
  <Lines>107</Lines>
  <Paragraphs>30</Paragraphs>
  <ScaleCrop>false</ScaleCrop>
  <Company/>
  <LinksUpToDate>false</LinksUpToDate>
  <CharactersWithSpaces>15077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1</cp:revision>
  <dcterms:created xsi:type="dcterms:W3CDTF">2023-06-07T15:59:00Z</dcterms:created>
  <dcterms:modified xsi:type="dcterms:W3CDTF">2023-06-07T16:03:00Z</dcterms:modified>
</cp:coreProperties>
</file>