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52" w:rsidRDefault="00B71652" w:rsidP="00B71652">
      <w:pPr>
        <w:autoSpaceDE/>
        <w:autoSpaceDN/>
        <w:spacing w:line="276" w:lineRule="auto"/>
        <w:jc w:val="center"/>
        <w:rPr>
          <w:rStyle w:val="slitbdy"/>
          <w:rFonts w:ascii="Arial" w:eastAsia="Times New Roman" w:hAnsi="Arial" w:cs="Arial"/>
          <w:b/>
          <w:sz w:val="22"/>
          <w:szCs w:val="22"/>
        </w:rPr>
      </w:pPr>
      <w:r w:rsidRPr="00B71652">
        <w:rPr>
          <w:rStyle w:val="slitbdy"/>
          <w:rFonts w:ascii="Arial" w:eastAsia="Times New Roman" w:hAnsi="Arial" w:cs="Arial"/>
          <w:b/>
          <w:sz w:val="22"/>
          <w:szCs w:val="22"/>
        </w:rPr>
        <w:t>CHESTIONAR DE AUTOEVALUARE</w:t>
      </w:r>
    </w:p>
    <w:p w:rsidR="00B71652" w:rsidRDefault="00B71652" w:rsidP="00B71652">
      <w:pPr>
        <w:autoSpaceDE/>
        <w:autoSpaceDN/>
        <w:spacing w:line="276" w:lineRule="auto"/>
        <w:jc w:val="center"/>
        <w:rPr>
          <w:rStyle w:val="slitbdy"/>
          <w:rFonts w:ascii="Arial" w:eastAsia="Times New Roman" w:hAnsi="Arial" w:cs="Arial"/>
          <w:b/>
          <w:sz w:val="22"/>
          <w:szCs w:val="22"/>
        </w:rPr>
      </w:pPr>
      <w:r w:rsidRPr="00B71652">
        <w:rPr>
          <w:rStyle w:val="slitbdy"/>
          <w:rFonts w:ascii="Arial" w:eastAsia="Times New Roman" w:hAnsi="Arial" w:cs="Arial"/>
          <w:b/>
          <w:sz w:val="22"/>
          <w:szCs w:val="22"/>
        </w:rPr>
        <w:t xml:space="preserve">PENTRU CABINETELE MEDICALE DE MEDICINĂ DE FAMILIE, </w:t>
      </w:r>
    </w:p>
    <w:p w:rsidR="00B71652" w:rsidRDefault="00B71652" w:rsidP="00B71652">
      <w:pPr>
        <w:autoSpaceDE/>
        <w:autoSpaceDN/>
        <w:spacing w:line="276" w:lineRule="auto"/>
        <w:jc w:val="center"/>
        <w:rPr>
          <w:rStyle w:val="slitbdy"/>
          <w:rFonts w:ascii="Arial" w:eastAsia="Times New Roman" w:hAnsi="Arial" w:cs="Arial"/>
          <w:b/>
          <w:sz w:val="22"/>
          <w:szCs w:val="22"/>
        </w:rPr>
      </w:pPr>
      <w:r w:rsidRPr="00B71652">
        <w:rPr>
          <w:rStyle w:val="slitbdy"/>
          <w:rFonts w:ascii="Arial" w:eastAsia="Times New Roman" w:hAnsi="Arial" w:cs="Arial"/>
          <w:b/>
          <w:sz w:val="22"/>
          <w:szCs w:val="22"/>
        </w:rPr>
        <w:t>CABINETELE MEDICALE DE SPECIALITATE,</w:t>
      </w:r>
    </w:p>
    <w:p w:rsidR="00B71652" w:rsidRDefault="00B71652" w:rsidP="00B71652">
      <w:pPr>
        <w:autoSpaceDE/>
        <w:autoSpaceDN/>
        <w:spacing w:line="276" w:lineRule="auto"/>
        <w:jc w:val="center"/>
        <w:rPr>
          <w:rStyle w:val="slitbdy"/>
          <w:rFonts w:ascii="Arial" w:eastAsia="Times New Roman" w:hAnsi="Arial" w:cs="Arial"/>
          <w:b/>
          <w:sz w:val="22"/>
          <w:szCs w:val="22"/>
        </w:rPr>
      </w:pPr>
      <w:r w:rsidRPr="00B71652">
        <w:rPr>
          <w:rStyle w:val="slitbdy"/>
          <w:rFonts w:ascii="Arial" w:eastAsia="Times New Roman" w:hAnsi="Arial" w:cs="Arial"/>
          <w:b/>
          <w:sz w:val="22"/>
          <w:szCs w:val="22"/>
        </w:rPr>
        <w:t xml:space="preserve"> CENTRELE MEDICALE, </w:t>
      </w:r>
    </w:p>
    <w:p w:rsidR="00B71652" w:rsidRDefault="00B71652" w:rsidP="00B71652">
      <w:pPr>
        <w:autoSpaceDE/>
        <w:autoSpaceDN/>
        <w:spacing w:line="276" w:lineRule="auto"/>
        <w:jc w:val="center"/>
        <w:rPr>
          <w:rStyle w:val="slitbdy"/>
          <w:rFonts w:ascii="Arial" w:eastAsia="Times New Roman" w:hAnsi="Arial" w:cs="Arial"/>
          <w:b/>
          <w:sz w:val="22"/>
          <w:szCs w:val="22"/>
        </w:rPr>
      </w:pPr>
      <w:r w:rsidRPr="00B71652">
        <w:rPr>
          <w:rStyle w:val="slitbdy"/>
          <w:rFonts w:ascii="Arial" w:eastAsia="Times New Roman" w:hAnsi="Arial" w:cs="Arial"/>
          <w:b/>
          <w:sz w:val="22"/>
          <w:szCs w:val="22"/>
        </w:rPr>
        <w:t xml:space="preserve">CENTRELE DE DIAGNOSTIC ŞI TRATAMENT ŞI </w:t>
      </w:r>
    </w:p>
    <w:p w:rsidR="00B71652" w:rsidRDefault="00B71652" w:rsidP="00B71652">
      <w:pPr>
        <w:autoSpaceDE/>
        <w:autoSpaceDN/>
        <w:spacing w:line="276" w:lineRule="auto"/>
        <w:jc w:val="center"/>
        <w:rPr>
          <w:rStyle w:val="slitbdy"/>
          <w:rFonts w:ascii="Arial" w:eastAsia="Times New Roman" w:hAnsi="Arial" w:cs="Arial"/>
          <w:b/>
          <w:sz w:val="22"/>
          <w:szCs w:val="22"/>
        </w:rPr>
      </w:pPr>
      <w:r w:rsidRPr="00B71652">
        <w:rPr>
          <w:rStyle w:val="slitbdy"/>
          <w:rFonts w:ascii="Arial" w:eastAsia="Times New Roman" w:hAnsi="Arial" w:cs="Arial"/>
          <w:b/>
          <w:sz w:val="22"/>
          <w:szCs w:val="22"/>
        </w:rPr>
        <w:t>CENTRELE DE SĂNĂTATE</w:t>
      </w:r>
    </w:p>
    <w:p w:rsidR="00B71652" w:rsidRDefault="00B71652" w:rsidP="00B71652">
      <w:pPr>
        <w:autoSpaceDE/>
        <w:autoSpaceDN/>
        <w:spacing w:line="276" w:lineRule="auto"/>
        <w:jc w:val="center"/>
        <w:rPr>
          <w:rStyle w:val="slitbdy"/>
          <w:rFonts w:ascii="Arial" w:eastAsia="Times New Roman" w:hAnsi="Arial" w:cs="Arial"/>
          <w:b/>
          <w:sz w:val="22"/>
          <w:szCs w:val="22"/>
        </w:rPr>
      </w:pPr>
    </w:p>
    <w:p w:rsidR="00B71652" w:rsidRDefault="00B71652" w:rsidP="00B71652">
      <w:pPr>
        <w:autoSpaceDE/>
        <w:autoSpaceDN/>
        <w:spacing w:line="276" w:lineRule="auto"/>
        <w:jc w:val="center"/>
        <w:rPr>
          <w:rStyle w:val="slitbdy"/>
          <w:rFonts w:ascii="Arial" w:eastAsia="Times New Roman" w:hAnsi="Arial" w:cs="Arial"/>
          <w:b/>
          <w:sz w:val="22"/>
          <w:szCs w:val="22"/>
        </w:rPr>
      </w:pPr>
    </w:p>
    <w:p w:rsidR="00B71652" w:rsidRPr="00B71652" w:rsidRDefault="00B71652" w:rsidP="00B71652">
      <w:pPr>
        <w:autoSpaceDE/>
        <w:autoSpaceDN/>
        <w:spacing w:line="276" w:lineRule="auto"/>
        <w:jc w:val="center"/>
        <w:rPr>
          <w:rStyle w:val="slitbdy"/>
          <w:rFonts w:ascii="Arial" w:eastAsia="Times New Roman"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221"/>
        <w:gridCol w:w="5346"/>
        <w:gridCol w:w="1184"/>
        <w:gridCol w:w="1331"/>
      </w:tblGrid>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STANDARD</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CRITERII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DESCRIERE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EVALUARE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OBSERVAŢII</w:t>
            </w: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STANDARD REFERITOR LA ORGANIZARE</w:t>
            </w:r>
          </w:p>
          <w:p w:rsidR="00B71652" w:rsidRPr="00B71652" w:rsidRDefault="00B71652" w:rsidP="00B7165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certificat de înregistrare în registrul unic al cabinetelor medicale, eliberat de Direcţia de Sănătate Publică sau statut legal din care rezultă obiectul de activitate, conform prevederilor legale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autorizaţie sanitară în vigoare eliberată de Direcţia de Sănătate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işi desfăşoară activitatea într-un spaţiu de care dispune în mod legal.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Regulament Intern de care întreg personalul a luat la cunoştinţă în scris.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Regulament de Organizare şi Funcţionare de care întreg personalul a luat la cunoştinţă în scris.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face dovada deţinerii asigurării de răspundere civilă în domeniul medical.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STANDARD REFERITOR LA STRUCTURA DE PERSONAL</w:t>
            </w:r>
          </w:p>
          <w:p w:rsidR="00B71652" w:rsidRPr="00B71652" w:rsidRDefault="00B71652" w:rsidP="00B7165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Medicii au certificat de membru al Colegiului Medicilor din România, cu excepţia medicilor străini care au aviz de practică temporară/ocazională conform reglementărilor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Asistenţii medicali au certificat de membru al OAMGMAMR, conform reglementărilor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Medicii, asistenţii medicali şi celălalt personal îşi desfăşoară activitatea intr-o formă legală la furnizor.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Medicii au asigurare de răspundere civilă (malpraxis)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Asistenţii medicali au asigurare de răspundere civilă (malpraxis)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Personalul are fişe de post cu atribuţiile specifice semnate de fiecare angajat şi aprobate de reprezentantul legal.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lastRenderedPageBreak/>
              <w:t>III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Default="00B71652" w:rsidP="00B71652">
            <w:pPr>
              <w:pStyle w:val="spar1"/>
              <w:spacing w:line="276" w:lineRule="auto"/>
              <w:jc w:val="both"/>
              <w:rPr>
                <w:rFonts w:ascii="Arial" w:hAnsi="Arial" w:cs="Arial"/>
                <w:color w:val="000000"/>
                <w:sz w:val="22"/>
                <w:szCs w:val="22"/>
              </w:rPr>
            </w:pPr>
          </w:p>
          <w:p w:rsid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STANDARD REFERITOR LA INFORMAREA ASIGURAŢILOR</w:t>
            </w:r>
          </w:p>
          <w:p w:rsidR="00B71652" w:rsidRPr="00B71652" w:rsidRDefault="00B71652" w:rsidP="00B7165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o firmă vizibilă din exterior.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În incinta cabinetului nu este permis accesul animalelor.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un program de lucru stabilit conform reglementărilor legale în vigoare, afişat vizibil.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expus la loc vizibil numele casei de asigurări de sănătate cu care se află în contract, precum şi datele de contact ale acesteia, după caz.</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Drepturile şi obligaţiile asiguraţilor sunt afişate la loc vizibil.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Asiguraţii au acces neîngrădit la un registru de reclamaţii şi sesizări, cu paginile numerotate.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xml:space="preserve">Cabinetul are afişat la loc vizibil numărul de telefon al serviciului de urgenţă (112).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Personalul poartă în permanenţă un ecuson pe care se află inscripţionat numele şi calificarea angajatului respectiv.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Sunt afişate tarifele pentru serviciile medicale care nu fac parte din pachetul de bază şi care nu sunt decontate de casa de asigurări de 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Este afişat numărul de telefon la care se poate face programarea la consultaţii.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III.11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În fiecare încăpere există un plan de evacuare în caz de incendiu cu indicarea poziţiei privitorului.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Default="00B71652" w:rsidP="00B71652">
            <w:pPr>
              <w:pStyle w:val="spar1"/>
              <w:spacing w:line="276" w:lineRule="auto"/>
              <w:jc w:val="both"/>
              <w:rPr>
                <w:rFonts w:ascii="Arial" w:hAnsi="Arial" w:cs="Arial"/>
                <w:color w:val="000000"/>
                <w:sz w:val="22"/>
                <w:szCs w:val="22"/>
              </w:rPr>
            </w:pPr>
          </w:p>
          <w:p w:rsid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STANDARD REFERITOR LA DOTARE</w:t>
            </w:r>
          </w:p>
          <w:p w:rsidR="00B71652" w:rsidRPr="00B71652" w:rsidRDefault="00B71652" w:rsidP="00B7165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Sala de aşteptare a furnizorului este dotată conform normelor legale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Furnizorul asigură accesul persoanelor cu handicap locomotor.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Medicamentele şi materialele sanitare utilizate în cadrul activităţii medicale sunt înregistrate conform actelor normative în vigoare şi depozitate conform recomandărilor producătorului.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Aparatul medical de urgenţă conţine medicamente şi materiale sanitare aflate în termenul de valabilitate.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în dotare aparatura medicală şi materialele necesare conform reglementărilor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face dovada verificării periodice a echipamentelor utilizate în conformitate cu reglementările ANMDMR, după caz.</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lastRenderedPageBreak/>
              <w:t>IV.7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contract de service/întreţinere pentru aparatura din dotare, după caz.</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face dovada deţinerii legale a aparaturii din dotare.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are contract pentru colectarea şi distrugerea (neutralizarea) deşeurilor cu risc biologic.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IV.10*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deţine un post/terminal telefonic (fix, mobil) functional şi sistem informatic a cărui utilizare este conformă cerinţelor CNAS.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Default="00B71652" w:rsidP="00B71652">
            <w:pPr>
              <w:pStyle w:val="spar1"/>
              <w:spacing w:line="276" w:lineRule="auto"/>
              <w:jc w:val="both"/>
              <w:rPr>
                <w:rFonts w:ascii="Arial" w:hAnsi="Arial" w:cs="Arial"/>
                <w:color w:val="000000"/>
                <w:sz w:val="22"/>
                <w:szCs w:val="22"/>
              </w:rPr>
            </w:pPr>
          </w:p>
          <w:p w:rsid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STANDARD REFERITOR LA ASIGURAREA SERVICIILOR</w:t>
            </w:r>
          </w:p>
          <w:p w:rsidR="00B71652" w:rsidRPr="00B71652" w:rsidRDefault="00B71652" w:rsidP="00B7165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V.1*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Cabinetul, în funcţie de specialitate, deţine evidenţe specifice: evidenţa consultaţiilor, tratamentelor şi a serviciilor medicale oferite cu înregistrarea în următoarele documente primare, după caz:</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fişele de consultaţii;</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registre de consultaţii;</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registre de tratamente;</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registrul de stupefiante;</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fişa gravidei;</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fişele şi registrele specifice activităţii de medicină fizică şi reabilitare, unde este cazul;</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registrul actualizat pentru evidenţa bolnavilor cronici;</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alte documente primare stabilite prin reglementări speciale astfel încât să fie identificabil asiguratul şi persoana care a oferit serviciul, diagnosticul, tratamentul precum data şi ora când acesta a fost furnizat.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V.2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Pentru pacienţii cu afecţiuni cronice care necesită îngrijire şi tratament special, serviciile medicale furnizate se înregistrează obligatoriu atât în fişele de consultaţii, cât şi în registrul de consultaţii.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V.3*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Furnizorul deţine şi utilizează, după caz, documentele tipizate, conform prevederilor legale in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V.4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În ROF vor fi menţionate în mod expres următoarele:</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definirea manevrelor care implică soluţii de continuitate, a materialelor utilizate şi a condiţiilor de sterilizare;</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obligativitatea păstrării confidenţialităţii asupra tuturor informaţiilor ce decurg din serviciile medicale acordate asiguraţilor;</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obligativitatea acordării serviciilor medicale în mod nediscriminatoriu asiguraţilor;</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xml:space="preserve">- obligativitatea respectării dreptului la libera alegere a furnizorului de servicii medicale în situaţiile de trimitere </w:t>
            </w:r>
            <w:r w:rsidRPr="00B71652">
              <w:rPr>
                <w:rFonts w:ascii="Arial" w:hAnsi="Arial" w:cs="Arial"/>
                <w:color w:val="000000"/>
                <w:sz w:val="22"/>
                <w:szCs w:val="22"/>
              </w:rPr>
              <w:lastRenderedPageBreak/>
              <w:t>în consulturi interdisciplinare;</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neutilizarea materialelor şi a instrumentelor a căror condiţie de sterilizare nu este sigură;</w:t>
            </w:r>
          </w:p>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 obligativitatea completării prescripţiilor medicale conexe actului medical atunci când este cazul pentru afecţiuni acute, subacute, cronice.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lastRenderedPageBreak/>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lastRenderedPageBreak/>
              <w:t>V.5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La cabinet se află lista de programare a asiguraţilor la consultaţii şi lista cu criteriile de acces prioritar la serviciile furnizorului.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r w:rsidR="00B71652" w:rsidRPr="00B7165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pStyle w:val="spar1"/>
              <w:spacing w:line="276" w:lineRule="auto"/>
              <w:jc w:val="both"/>
              <w:rPr>
                <w:rFonts w:ascii="Arial" w:hAnsi="Arial" w:cs="Arial"/>
                <w:color w:val="000000"/>
                <w:sz w:val="22"/>
                <w:szCs w:val="22"/>
              </w:rPr>
            </w:pPr>
            <w:r w:rsidRPr="00B71652">
              <w:rPr>
                <w:rFonts w:ascii="Arial" w:hAnsi="Arial" w:cs="Arial"/>
                <w:color w:val="000000"/>
                <w:sz w:val="22"/>
                <w:szCs w:val="22"/>
              </w:rPr>
              <w:t>TOTAL CRITERII 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1652" w:rsidRPr="00B71652" w:rsidRDefault="00B71652" w:rsidP="00B71652">
            <w:pPr>
              <w:spacing w:line="276" w:lineRule="auto"/>
              <w:rPr>
                <w:rFonts w:ascii="Arial" w:eastAsia="Times New Roman" w:hAnsi="Arial" w:cs="Arial"/>
                <w:color w:val="000000"/>
                <w:sz w:val="22"/>
                <w:szCs w:val="22"/>
              </w:rPr>
            </w:pPr>
          </w:p>
        </w:tc>
      </w:tr>
    </w:tbl>
    <w:p w:rsidR="00B71652" w:rsidRDefault="00B71652" w:rsidP="00B71652">
      <w:pPr>
        <w:pStyle w:val="spar"/>
        <w:spacing w:line="276" w:lineRule="auto"/>
        <w:jc w:val="both"/>
        <w:rPr>
          <w:rFonts w:ascii="Arial" w:hAnsi="Arial" w:cs="Arial"/>
          <w:color w:val="000000"/>
          <w:sz w:val="22"/>
          <w:szCs w:val="22"/>
          <w:shd w:val="clear" w:color="auto" w:fill="FFFFFF"/>
        </w:rPr>
      </w:pPr>
    </w:p>
    <w:p w:rsidR="00B71652" w:rsidRPr="00B71652" w:rsidRDefault="00B71652" w:rsidP="00B71652">
      <w:pPr>
        <w:pStyle w:val="spar"/>
        <w:spacing w:line="276" w:lineRule="auto"/>
        <w:jc w:val="both"/>
        <w:rPr>
          <w:rFonts w:ascii="Arial" w:hAnsi="Arial" w:cs="Arial"/>
          <w:sz w:val="22"/>
          <w:szCs w:val="22"/>
        </w:rPr>
      </w:pPr>
      <w:r w:rsidRPr="00B71652">
        <w:rPr>
          <w:rFonts w:ascii="Arial" w:hAnsi="Arial" w:cs="Arial"/>
          <w:color w:val="000000"/>
          <w:sz w:val="22"/>
          <w:szCs w:val="22"/>
          <w:shd w:val="clear" w:color="auto" w:fill="FFFFFF"/>
        </w:rPr>
        <w:t>*) reprezintă criterii eligibile.</w:t>
      </w: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652"/>
    <w:rsid w:val="003552D9"/>
    <w:rsid w:val="005A3D7F"/>
    <w:rsid w:val="00B716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52"/>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B71652"/>
    <w:pPr>
      <w:autoSpaceDE/>
      <w:autoSpaceDN/>
      <w:ind w:left="180"/>
    </w:pPr>
    <w:rPr>
      <w:rFonts w:ascii="Times New Roman" w:eastAsiaTheme="minorEastAsia" w:hAnsi="Times New Roman"/>
      <w:sz w:val="24"/>
      <w:szCs w:val="24"/>
    </w:rPr>
  </w:style>
  <w:style w:type="paragraph" w:customStyle="1" w:styleId="spar1">
    <w:name w:val="s_par1"/>
    <w:basedOn w:val="Normal"/>
    <w:rsid w:val="00B71652"/>
    <w:pPr>
      <w:autoSpaceDE/>
      <w:autoSpaceDN/>
    </w:pPr>
    <w:rPr>
      <w:rFonts w:eastAsiaTheme="minorEastAsia"/>
      <w:sz w:val="12"/>
      <w:szCs w:val="12"/>
    </w:rPr>
  </w:style>
  <w:style w:type="character" w:customStyle="1" w:styleId="slitttl1">
    <w:name w:val="s_lit_ttl1"/>
    <w:basedOn w:val="DefaultParagraphFont"/>
    <w:rsid w:val="00B71652"/>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B71652"/>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5548</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1</cp:revision>
  <dcterms:created xsi:type="dcterms:W3CDTF">2023-09-21T14:53:00Z</dcterms:created>
  <dcterms:modified xsi:type="dcterms:W3CDTF">2023-09-21T14:56:00Z</dcterms:modified>
</cp:coreProperties>
</file>