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F2E59">
      <w:pPr>
        <w:pStyle w:val="sden"/>
      </w:pPr>
      <w:r>
        <w:t>NORME TEHNICE din 30 martie 2022</w:t>
      </w:r>
    </w:p>
    <w:p w:rsidR="00000000" w:rsidRDefault="00EF2E59">
      <w:pPr>
        <w:pStyle w:val="shdr"/>
      </w:pPr>
      <w:r>
        <w:t>de realizare a programelor naţionale de sănătate curative pentru anii 2022-2023</w:t>
      </w:r>
    </w:p>
    <w:tbl>
      <w:tblPr>
        <w:tblW w:w="0" w:type="auto"/>
        <w:tblCellSpacing w:w="15" w:type="dxa"/>
        <w:tblInd w:w="144" w:type="dxa"/>
        <w:tblCellMar>
          <w:left w:w="0" w:type="dxa"/>
          <w:right w:w="0" w:type="dxa"/>
        </w:tblCellMar>
        <w:tblLook w:val="04A0"/>
      </w:tblPr>
      <w:tblGrid>
        <w:gridCol w:w="792"/>
        <w:gridCol w:w="3370"/>
      </w:tblGrid>
      <w:tr w:rsidR="00000000">
        <w:trPr>
          <w:tblCellSpacing w:w="15" w:type="dxa"/>
        </w:trPr>
        <w:tc>
          <w:tcPr>
            <w:tcW w:w="0" w:type="auto"/>
            <w:hideMark/>
          </w:tcPr>
          <w:p w:rsidR="00000000" w:rsidRDefault="00EF2E59">
            <w:pPr>
              <w:autoSpaceDE/>
              <w:autoSpaceDN/>
              <w:jc w:val="both"/>
              <w:rPr>
                <w:rFonts w:eastAsia="Times New Roman"/>
                <w:color w:val="000000"/>
                <w:sz w:val="16"/>
              </w:rPr>
            </w:pPr>
            <w:r>
              <w:rPr>
                <w:rStyle w:val="semtttl1"/>
                <w:rFonts w:eastAsia="Times New Roman"/>
              </w:rPr>
              <w:t>EMITENT</w:t>
            </w:r>
            <w:r>
              <w:rPr>
                <w:rFonts w:eastAsia="Times New Roman"/>
                <w:color w:val="000000"/>
                <w:sz w:val="16"/>
              </w:rPr>
              <w:t xml:space="preserve"> </w:t>
            </w:r>
          </w:p>
        </w:tc>
        <w:tc>
          <w:tcPr>
            <w:tcW w:w="0" w:type="auto"/>
            <w:hideMark/>
          </w:tcPr>
          <w:p w:rsidR="00000000" w:rsidRDefault="00EF2E59">
            <w:pPr>
              <w:autoSpaceDE/>
              <w:autoSpaceDN/>
              <w:jc w:val="both"/>
              <w:rPr>
                <w:rFonts w:eastAsia="Times New Roman"/>
                <w:color w:val="000000"/>
                <w:sz w:val="16"/>
              </w:rPr>
            </w:pPr>
            <w:r>
              <w:rPr>
                <w:rFonts w:eastAsia="Times New Roman" w:hAnsi="Symbol"/>
                <w:b/>
                <w:bCs/>
                <w:color w:val="006400"/>
                <w:sz w:val="14"/>
                <w:szCs w:val="14"/>
                <w:shd w:val="clear" w:color="auto" w:fill="FFFFFF"/>
              </w:rPr>
              <w:t></w:t>
            </w:r>
            <w:r>
              <w:rPr>
                <w:rFonts w:eastAsia="Times New Roman"/>
                <w:b/>
                <w:bCs/>
                <w:color w:val="006400"/>
                <w:sz w:val="14"/>
                <w:szCs w:val="14"/>
                <w:shd w:val="clear" w:color="auto" w:fill="FFFFFF"/>
              </w:rPr>
              <w:t xml:space="preserve">  </w:t>
            </w:r>
            <w:r>
              <w:rPr>
                <w:rStyle w:val="semtbdy1"/>
                <w:rFonts w:eastAsia="Times New Roman"/>
              </w:rPr>
              <w:t>Casa Națională de Asigurări de Sănătate</w:t>
            </w:r>
            <w:r>
              <w:rPr>
                <w:rFonts w:eastAsia="Times New Roman"/>
                <w:color w:val="000000"/>
                <w:sz w:val="16"/>
              </w:rPr>
              <w:t xml:space="preserve"> </w:t>
            </w:r>
          </w:p>
        </w:tc>
      </w:tr>
    </w:tbl>
    <w:p w:rsidR="00000000" w:rsidRDefault="00EF2E59">
      <w:pPr>
        <w:pStyle w:val="spub"/>
        <w:spacing w:before="0" w:after="0"/>
      </w:pPr>
      <w:r>
        <w:rPr>
          <w:rStyle w:val="spubttl"/>
          <w:b w:val="0"/>
          <w:bCs w:val="0"/>
        </w:rPr>
        <w:t>Publicat în</w:t>
      </w:r>
      <w:r>
        <w:t xml:space="preserve"> </w:t>
      </w:r>
      <w:r>
        <w:rPr>
          <w:rStyle w:val="spubbdy1"/>
          <w:b/>
          <w:bCs/>
        </w:rPr>
        <w:t>Monitorul Oficial nr 318 din data 31-03-2022</w:t>
      </w:r>
      <w:r>
        <w:t xml:space="preserve"> </w:t>
      </w:r>
    </w:p>
    <w:p w:rsidR="00000000" w:rsidRDefault="00EF2E59">
      <w:pPr>
        <w:pStyle w:val="spar"/>
        <w:jc w:val="both"/>
        <w:rPr>
          <w:rFonts w:ascii="Verdana" w:hAnsi="Verdana"/>
          <w:color w:val="000000"/>
          <w:sz w:val="16"/>
          <w:szCs w:val="16"/>
        </w:rPr>
      </w:pPr>
      <w:r>
        <w:rPr>
          <w:rFonts w:ascii="Verdana" w:hAnsi="Verdana"/>
          <w:b/>
          <w:bCs/>
          <w:color w:val="000000"/>
          <w:sz w:val="16"/>
          <w:szCs w:val="16"/>
        </w:rPr>
        <w:t>Data intrării în vigoare 26-09-2023</w:t>
      </w:r>
    </w:p>
    <w:tbl>
      <w:tblPr>
        <w:tblW w:w="0" w:type="auto"/>
        <w:tblCellSpacing w:w="15" w:type="dxa"/>
        <w:tblCellMar>
          <w:top w:w="15" w:type="dxa"/>
          <w:left w:w="15" w:type="dxa"/>
          <w:bottom w:w="15" w:type="dxa"/>
          <w:right w:w="15" w:type="dxa"/>
        </w:tblCellMar>
        <w:tblLook w:val="04A0"/>
      </w:tblPr>
      <w:tblGrid>
        <w:gridCol w:w="81"/>
        <w:gridCol w:w="9448"/>
      </w:tblGrid>
      <w:tr w:rsidR="00000000">
        <w:trPr>
          <w:divId w:val="502472219"/>
          <w:tblCellSpacing w:w="15" w:type="dxa"/>
        </w:trPr>
        <w:tc>
          <w:tcPr>
            <w:tcW w:w="0" w:type="auto"/>
            <w:tcMar>
              <w:top w:w="60" w:type="dxa"/>
              <w:left w:w="15" w:type="dxa"/>
              <w:bottom w:w="60" w:type="dxa"/>
              <w:right w:w="15" w:type="dxa"/>
            </w:tcMar>
            <w:vAlign w:val="center"/>
            <w:hideMark/>
          </w:tcPr>
          <w:p w:rsidR="00000000" w:rsidRDefault="00EF2E59">
            <w:pPr>
              <w:autoSpaceDE/>
              <w:autoSpaceDN/>
              <w:jc w:val="both"/>
              <w:rPr>
                <w:rFonts w:eastAsia="Times New Roman"/>
                <w:color w:val="000000"/>
                <w:sz w:val="16"/>
              </w:rPr>
            </w:pPr>
          </w:p>
        </w:tc>
        <w:tc>
          <w:tcPr>
            <w:tcW w:w="0" w:type="auto"/>
            <w:vAlign w:val="center"/>
            <w:hideMark/>
          </w:tcPr>
          <w:p w:rsidR="00000000" w:rsidRDefault="00EF2E59">
            <w:pPr>
              <w:pStyle w:val="spar"/>
              <w:jc w:val="both"/>
              <w:rPr>
                <w:rFonts w:ascii="Verdana" w:hAnsi="Verdana"/>
                <w:color w:val="000000"/>
                <w:sz w:val="16"/>
                <w:szCs w:val="16"/>
              </w:rPr>
            </w:pPr>
            <w:r>
              <w:rPr>
                <w:rFonts w:ascii="Verdana" w:hAnsi="Verdana"/>
                <w:b/>
                <w:bCs/>
                <w:color w:val="000000"/>
                <w:sz w:val="16"/>
                <w:szCs w:val="16"/>
              </w:rPr>
              <w:t>Formă consolidată valabilă la data 02-11-2023</w:t>
            </w:r>
          </w:p>
          <w:p w:rsidR="00000000" w:rsidRDefault="00EF2E59">
            <w:pPr>
              <w:pStyle w:val="spar"/>
              <w:jc w:val="both"/>
              <w:rPr>
                <w:rFonts w:ascii="Verdana" w:hAnsi="Verdana"/>
                <w:color w:val="000000"/>
                <w:sz w:val="16"/>
                <w:szCs w:val="16"/>
              </w:rPr>
            </w:pPr>
            <w:r>
              <w:rPr>
                <w:rFonts w:ascii="Verdana" w:hAnsi="Verdana"/>
                <w:b/>
                <w:bCs/>
                <w:color w:val="000000"/>
                <w:sz w:val="16"/>
                <w:szCs w:val="16"/>
              </w:rPr>
              <w:t>Prezenta formă consolidată este valabilă începând cu data de 26-09-2023 până la data de 02-11-2023</w:t>
            </w:r>
          </w:p>
        </w:tc>
      </w:tr>
    </w:tbl>
    <w:p w:rsidR="00000000" w:rsidRDefault="00EF2E59">
      <w:pPr>
        <w:pStyle w:val="sanxttl"/>
      </w:pPr>
      <w:r>
        <w:t>Anexa nr. 15^1</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la Normele tehnice</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PLAN DE INTERVENŢIE PERSONALIZAT</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Nume pacient:</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Data naşterii:</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Nume psiholog:</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Nume părinţi/reprezentanţi legali:</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Diagnostic conform documentelor medicale:</w:t>
      </w:r>
    </w:p>
    <w:p w:rsidR="00000000" w:rsidRDefault="00EF2E59">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Data:</w:t>
      </w:r>
    </w:p>
    <w:tbl>
      <w:tblPr>
        <w:tblW w:w="0" w:type="auto"/>
        <w:tblCellSpacing w:w="15" w:type="dxa"/>
        <w:tblCellMar>
          <w:top w:w="15" w:type="dxa"/>
          <w:left w:w="15" w:type="dxa"/>
          <w:bottom w:w="15" w:type="dxa"/>
          <w:right w:w="15" w:type="dxa"/>
        </w:tblCellMar>
        <w:tblLook w:val="04A0"/>
      </w:tblPr>
      <w:tblGrid>
        <w:gridCol w:w="3016"/>
        <w:gridCol w:w="5553"/>
      </w:tblGrid>
      <w:tr w:rsidR="00000000">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Recomandări generale intervenție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Tipul de intervenție/serviciu</w:t>
            </w:r>
          </w:p>
        </w:tc>
      </w:tr>
      <w:tr w:rsidR="00000000">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2E59">
            <w:pPr>
              <w:autoSpaceDE/>
              <w:autoSpaceDN/>
              <w:rPr>
                <w:rFonts w:eastAsiaTheme="minorEastAsia"/>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 xml:space="preserve">Număr ședințe recomandat săptămânal în urma evaluării inițiale: </w:t>
            </w:r>
          </w:p>
          <w:p w:rsidR="00000000" w:rsidRDefault="00EF2E59">
            <w:pPr>
              <w:pStyle w:val="spar"/>
              <w:jc w:val="both"/>
              <w:rPr>
                <w:rFonts w:ascii="Verdana" w:hAnsi="Verdana"/>
                <w:color w:val="0000FF"/>
                <w:sz w:val="16"/>
                <w:szCs w:val="16"/>
              </w:rPr>
            </w:pPr>
            <w:r>
              <w:rPr>
                <w:rFonts w:ascii="Verdana" w:hAnsi="Verdana"/>
                <w:color w:val="0000FF"/>
                <w:sz w:val="16"/>
                <w:szCs w:val="16"/>
              </w:rPr>
              <w:t>Număr ședințe alocat săptămânal:</w:t>
            </w:r>
          </w:p>
        </w:tc>
      </w:tr>
      <w:tr w:rsidR="00000000">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2E59">
            <w:pPr>
              <w:autoSpaceDE/>
              <w:autoSpaceDN/>
              <w:rPr>
                <w:rFonts w:eastAsiaTheme="minorEastAsia"/>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 xml:space="preserve">Integrare socială: </w:t>
            </w:r>
          </w:p>
          <w:p w:rsidR="00000000" w:rsidRDefault="00EF2E59">
            <w:pPr>
              <w:pStyle w:val="spar"/>
              <w:jc w:val="both"/>
              <w:rPr>
                <w:rFonts w:ascii="Verdana" w:hAnsi="Verdana"/>
                <w:color w:val="0000FF"/>
                <w:sz w:val="16"/>
                <w:szCs w:val="16"/>
              </w:rPr>
            </w:pPr>
            <w:r>
              <w:rPr>
                <w:rFonts w:ascii="Verdana" w:hAnsi="Verdana"/>
                <w:color w:val="0000FF"/>
                <w:sz w:val="16"/>
                <w:szCs w:val="16"/>
              </w:rPr>
              <w:t>Program recomandat:</w:t>
            </w:r>
          </w:p>
        </w:tc>
      </w:tr>
      <w:tr w:rsidR="00000000">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F2E59">
            <w:pPr>
              <w:autoSpaceDE/>
              <w:autoSpaceDN/>
              <w:rPr>
                <w:rFonts w:eastAsiaTheme="minorEastAsia"/>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Alte observații:</w:t>
            </w:r>
          </w:p>
        </w:tc>
      </w:tr>
    </w:tbl>
    <w:p w:rsidR="00000000" w:rsidRDefault="00EF2E59">
      <w:pPr>
        <w:autoSpaceDE/>
        <w:autoSpaceDN/>
        <w:jc w:val="both"/>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10930"/>
      </w:tblGrid>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Rezultatele evaluării inițiale</w:t>
            </w:r>
          </w:p>
          <w:p w:rsidR="00000000" w:rsidRDefault="00EF2E59">
            <w:pPr>
              <w:pStyle w:val="spar"/>
              <w:jc w:val="both"/>
              <w:rPr>
                <w:rFonts w:ascii="Verdana" w:hAnsi="Verdana"/>
                <w:color w:val="0000FF"/>
                <w:sz w:val="16"/>
                <w:szCs w:val="16"/>
              </w:rPr>
            </w:pPr>
            <w:r>
              <w:rPr>
                <w:rFonts w:ascii="Verdana" w:hAnsi="Verdana"/>
                <w:color w:val="0000FF"/>
                <w:sz w:val="16"/>
                <w:szCs w:val="16"/>
              </w:rPr>
              <w:t>La dosarul copilului va fi atașată evaluarea inițială - evaluarea realizată de psihologul clinician pe baza unui test avizat de Colegiul Psihologilor sau evaluarea proprie pe baza unui chestionar de evaluare a abilităților.</w:t>
            </w:r>
          </w:p>
        </w:tc>
      </w:tr>
    </w:tbl>
    <w:p w:rsidR="00000000" w:rsidRDefault="00EF2E59">
      <w:pPr>
        <w:autoSpaceDE/>
        <w:autoSpaceDN/>
        <w:jc w:val="both"/>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9246"/>
      </w:tblGrid>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Dosarul copilului/ persoanei</w:t>
            </w:r>
            <w:r>
              <w:rPr>
                <w:rFonts w:ascii="Verdana" w:hAnsi="Verdana"/>
                <w:color w:val="0000FF"/>
                <w:sz w:val="16"/>
                <w:szCs w:val="16"/>
              </w:rPr>
              <w:t xml:space="preserve"> cu TSA</w:t>
            </w:r>
          </w:p>
          <w:p w:rsidR="00000000" w:rsidRDefault="00EF2E59">
            <w:pPr>
              <w:pStyle w:val="spar"/>
              <w:jc w:val="both"/>
              <w:rPr>
                <w:rFonts w:ascii="Verdana" w:hAnsi="Verdana"/>
                <w:color w:val="0000FF"/>
                <w:sz w:val="16"/>
                <w:szCs w:val="16"/>
              </w:rPr>
            </w:pPr>
            <w:r>
              <w:rPr>
                <w:rFonts w:ascii="Verdana" w:hAnsi="Verdana"/>
                <w:color w:val="0000FF"/>
                <w:sz w:val="16"/>
                <w:szCs w:val="16"/>
              </w:rPr>
              <w:t>Pe baza planului de intervenție, va fi întocmit dosarul copilului ce va cuprinde:</w:t>
            </w:r>
          </w:p>
          <w:p w:rsidR="00000000" w:rsidRDefault="00EF2E59">
            <w:pPr>
              <w:pStyle w:val="spar"/>
              <w:jc w:val="both"/>
              <w:rPr>
                <w:rFonts w:ascii="Verdana" w:hAnsi="Verdana"/>
                <w:color w:val="0000FF"/>
                <w:sz w:val="16"/>
                <w:szCs w:val="16"/>
              </w:rPr>
            </w:pPr>
            <w:r>
              <w:rPr>
                <w:rFonts w:ascii="Verdana" w:hAnsi="Verdana"/>
                <w:color w:val="0000FF"/>
                <w:sz w:val="16"/>
                <w:szCs w:val="16"/>
              </w:rPr>
              <w:t>- planul de intervenție - planul de intervenție va fi actualizat lunar pe baza ritmului de progres al beneficiarului</w:t>
            </w:r>
          </w:p>
          <w:p w:rsidR="00000000" w:rsidRDefault="00EF2E59">
            <w:pPr>
              <w:pStyle w:val="spar"/>
              <w:jc w:val="both"/>
              <w:rPr>
                <w:rFonts w:ascii="Verdana" w:hAnsi="Verdana"/>
                <w:color w:val="0000FF"/>
                <w:sz w:val="16"/>
                <w:szCs w:val="16"/>
              </w:rPr>
            </w:pPr>
            <w:r>
              <w:rPr>
                <w:rFonts w:ascii="Verdana" w:hAnsi="Verdana"/>
                <w:color w:val="0000FF"/>
                <w:sz w:val="16"/>
                <w:szCs w:val="16"/>
              </w:rPr>
              <w:t>- evaluarea abilităților - reevaluarea va fi real</w:t>
            </w:r>
            <w:r>
              <w:rPr>
                <w:rFonts w:ascii="Verdana" w:hAnsi="Verdana"/>
                <w:color w:val="0000FF"/>
                <w:sz w:val="16"/>
                <w:szCs w:val="16"/>
              </w:rPr>
              <w:t>izată la 6 luni</w:t>
            </w:r>
          </w:p>
          <w:p w:rsidR="00000000" w:rsidRDefault="00EF2E59">
            <w:pPr>
              <w:pStyle w:val="spar"/>
              <w:jc w:val="both"/>
              <w:rPr>
                <w:rFonts w:ascii="Verdana" w:hAnsi="Verdana"/>
                <w:color w:val="0000FF"/>
                <w:sz w:val="16"/>
                <w:szCs w:val="16"/>
              </w:rPr>
            </w:pPr>
            <w:r>
              <w:rPr>
                <w:rFonts w:ascii="Verdana" w:hAnsi="Verdana"/>
                <w:color w:val="0000FF"/>
                <w:sz w:val="16"/>
                <w:szCs w:val="16"/>
              </w:rPr>
              <w:t>- fișa pentru fiecare obiectiv în care va fi detaliat obiectivul și modul de lucru</w:t>
            </w:r>
          </w:p>
          <w:p w:rsidR="00000000" w:rsidRDefault="00EF2E59">
            <w:pPr>
              <w:pStyle w:val="spar"/>
              <w:jc w:val="both"/>
              <w:rPr>
                <w:rFonts w:ascii="Verdana" w:hAnsi="Verdana"/>
                <w:color w:val="0000FF"/>
                <w:sz w:val="16"/>
                <w:szCs w:val="16"/>
              </w:rPr>
            </w:pPr>
            <w:r>
              <w:rPr>
                <w:rFonts w:ascii="Verdana" w:hAnsi="Verdana"/>
                <w:color w:val="0000FF"/>
                <w:sz w:val="16"/>
                <w:szCs w:val="16"/>
              </w:rPr>
              <w:t>- fișa de colectare a datelor pentru fiecare obiectiv în parte</w:t>
            </w:r>
          </w:p>
          <w:p w:rsidR="00000000" w:rsidRDefault="00EF2E59">
            <w:pPr>
              <w:pStyle w:val="spar"/>
              <w:jc w:val="both"/>
              <w:rPr>
                <w:rFonts w:ascii="Verdana" w:hAnsi="Verdana"/>
                <w:color w:val="0000FF"/>
                <w:sz w:val="16"/>
                <w:szCs w:val="16"/>
              </w:rPr>
            </w:pPr>
            <w:r>
              <w:rPr>
                <w:rFonts w:ascii="Verdana" w:hAnsi="Verdana"/>
                <w:color w:val="0000FF"/>
                <w:sz w:val="16"/>
                <w:szCs w:val="16"/>
              </w:rPr>
              <w:t>- fișa de monitorizare a comportamentelor neadecvate*)</w:t>
            </w:r>
          </w:p>
        </w:tc>
      </w:tr>
    </w:tbl>
    <w:p w:rsidR="00000000" w:rsidRDefault="00EF2E59">
      <w:pPr>
        <w:pStyle w:val="spar"/>
        <w:jc w:val="both"/>
        <w:rPr>
          <w:color w:val="0000FF"/>
        </w:rPr>
      </w:pPr>
      <w:r>
        <w:rPr>
          <w:rFonts w:ascii="Verdana" w:hAnsi="Verdana"/>
          <w:color w:val="0000FF"/>
          <w:sz w:val="16"/>
          <w:szCs w:val="16"/>
          <w:shd w:val="clear" w:color="auto" w:fill="FFFFFF"/>
        </w:rPr>
        <w:t xml:space="preserve">*) doar în cazul intervenţiilor de tip </w:t>
      </w:r>
      <w:r>
        <w:rPr>
          <w:rFonts w:ascii="Verdana" w:hAnsi="Verdana"/>
          <w:color w:val="0000FF"/>
          <w:sz w:val="16"/>
          <w:szCs w:val="16"/>
          <w:shd w:val="clear" w:color="auto" w:fill="FFFFFF"/>
        </w:rPr>
        <w:t>psihoterapie/consiliere psihologică clinică</w:t>
      </w:r>
    </w:p>
    <w:tbl>
      <w:tblPr>
        <w:tblW w:w="0" w:type="auto"/>
        <w:tblCellSpacing w:w="15" w:type="dxa"/>
        <w:tblCellMar>
          <w:top w:w="15" w:type="dxa"/>
          <w:left w:w="15" w:type="dxa"/>
          <w:bottom w:w="15" w:type="dxa"/>
          <w:right w:w="15" w:type="dxa"/>
        </w:tblCellMar>
        <w:tblLook w:val="04A0"/>
      </w:tblPr>
      <w:tblGrid>
        <w:gridCol w:w="10930"/>
      </w:tblGrid>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Managementul ședinței de intervenție - vor fi descrise aspectele care trebuie urmărite pentru o bună organizare în ședința de intervenție</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 durata unei activități în funcție de vârsta copilului și capacitatea de colaborare în activități</w:t>
            </w:r>
          </w:p>
          <w:p w:rsidR="00000000" w:rsidRDefault="00EF2E59">
            <w:pPr>
              <w:pStyle w:val="spar"/>
              <w:jc w:val="both"/>
              <w:rPr>
                <w:rFonts w:ascii="Verdana" w:hAnsi="Verdana"/>
                <w:color w:val="0000FF"/>
                <w:sz w:val="16"/>
                <w:szCs w:val="16"/>
              </w:rPr>
            </w:pPr>
            <w:r>
              <w:rPr>
                <w:rFonts w:ascii="Verdana" w:hAnsi="Verdana"/>
                <w:color w:val="0000FF"/>
                <w:sz w:val="16"/>
                <w:szCs w:val="16"/>
              </w:rPr>
              <w:t>- numărul de obiective recomandat a fi atinse într-o sesiune de 50 minute</w:t>
            </w:r>
          </w:p>
          <w:p w:rsidR="00000000" w:rsidRDefault="00EF2E59">
            <w:pPr>
              <w:pStyle w:val="spar"/>
              <w:jc w:val="both"/>
              <w:rPr>
                <w:rFonts w:ascii="Verdana" w:hAnsi="Verdana"/>
                <w:color w:val="0000FF"/>
                <w:sz w:val="16"/>
                <w:szCs w:val="16"/>
              </w:rPr>
            </w:pPr>
            <w:r>
              <w:rPr>
                <w:rFonts w:ascii="Verdana" w:hAnsi="Verdana"/>
                <w:color w:val="0000FF"/>
                <w:sz w:val="16"/>
                <w:szCs w:val="16"/>
              </w:rPr>
              <w:t>- modalitatea de colectare a datelor</w:t>
            </w:r>
          </w:p>
          <w:p w:rsidR="00000000" w:rsidRDefault="00EF2E59">
            <w:pPr>
              <w:pStyle w:val="spar"/>
              <w:jc w:val="both"/>
              <w:rPr>
                <w:rFonts w:ascii="Verdana" w:hAnsi="Verdana"/>
                <w:color w:val="0000FF"/>
                <w:sz w:val="16"/>
                <w:szCs w:val="16"/>
              </w:rPr>
            </w:pPr>
            <w:r>
              <w:rPr>
                <w:rFonts w:ascii="Verdana" w:hAnsi="Verdana"/>
                <w:color w:val="0000FF"/>
                <w:sz w:val="16"/>
                <w:szCs w:val="16"/>
              </w:rPr>
              <w:t>- criteriile de masterare</w:t>
            </w:r>
          </w:p>
          <w:p w:rsidR="00000000" w:rsidRDefault="00EF2E59">
            <w:pPr>
              <w:pStyle w:val="spar"/>
              <w:jc w:val="both"/>
              <w:rPr>
                <w:rFonts w:ascii="Verdana" w:hAnsi="Verdana"/>
                <w:color w:val="0000FF"/>
                <w:sz w:val="16"/>
                <w:szCs w:val="16"/>
              </w:rPr>
            </w:pPr>
            <w:r>
              <w:rPr>
                <w:rFonts w:ascii="Verdana" w:hAnsi="Verdana"/>
                <w:color w:val="0000FF"/>
                <w:sz w:val="16"/>
                <w:szCs w:val="16"/>
              </w:rPr>
              <w:t>- mixarea obiectivel</w:t>
            </w:r>
            <w:r>
              <w:rPr>
                <w:rFonts w:ascii="Verdana" w:hAnsi="Verdana"/>
                <w:color w:val="0000FF"/>
                <w:sz w:val="16"/>
                <w:szCs w:val="16"/>
              </w:rPr>
              <w:t>or</w:t>
            </w:r>
          </w:p>
        </w:tc>
      </w:tr>
    </w:tbl>
    <w:p w:rsidR="00000000" w:rsidRDefault="00EF2E59">
      <w:pPr>
        <w:autoSpaceDE/>
        <w:autoSpaceDN/>
        <w:jc w:val="both"/>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4600"/>
        <w:gridCol w:w="3928"/>
        <w:gridCol w:w="2402"/>
      </w:tblGrid>
      <w:tr w:rsidR="00000000">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ANALIZA FUNCŢIONALĂ și intervenția asupra comportamentelor neadecvate</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COMPORTAMENT - definiția comportamentului neadecvat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FUNCŢIA identificată în urma analizei funcționale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INTERVENŢIA recomandată</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bl>
    <w:p w:rsidR="00000000" w:rsidRDefault="00EF2E59">
      <w:pPr>
        <w:autoSpaceDE/>
        <w:autoSpaceDN/>
        <w:jc w:val="both"/>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10930"/>
      </w:tblGrid>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Obiective terapeutice - vor fi stabilite obiective terapeutice care să țină cont de: informațiile obținute în urma evaluării inițiale a abilităților, numărul de ore de terapie alocate săptămânal, intervenția asupra tuturor ariilor de dezvoltare.</w:t>
            </w:r>
          </w:p>
          <w:p w:rsidR="00000000" w:rsidRDefault="00EF2E59">
            <w:pPr>
              <w:pStyle w:val="spar"/>
              <w:jc w:val="both"/>
              <w:rPr>
                <w:rFonts w:ascii="Verdana" w:hAnsi="Verdana"/>
                <w:color w:val="0000FF"/>
                <w:sz w:val="16"/>
                <w:szCs w:val="16"/>
              </w:rPr>
            </w:pPr>
            <w:r>
              <w:rPr>
                <w:rFonts w:ascii="Verdana" w:hAnsi="Verdana"/>
                <w:color w:val="0000FF"/>
                <w:sz w:val="16"/>
                <w:szCs w:val="16"/>
              </w:rPr>
              <w:t>Obiectivel</w:t>
            </w:r>
            <w:r>
              <w:rPr>
                <w:rFonts w:ascii="Verdana" w:hAnsi="Verdana"/>
                <w:color w:val="0000FF"/>
                <w:sz w:val="16"/>
                <w:szCs w:val="16"/>
              </w:rPr>
              <w:t>e menționate mai jos pe fiecare arie de dezvoltare în parte sunt doar câteva exemple. Obiectivele din planul de intervenție, descrierea acestora și numărul obiectivelor pe fiecare arie de dezvoltare va fi individualizat pentru fiecare beneficiar în parte.</w:t>
            </w:r>
          </w:p>
        </w:tc>
      </w:tr>
    </w:tbl>
    <w:p w:rsidR="00000000" w:rsidRDefault="00EF2E59">
      <w:pPr>
        <w:autoSpaceDE/>
        <w:autoSpaceDN/>
        <w:jc w:val="both"/>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4482"/>
        <w:gridCol w:w="2566"/>
        <w:gridCol w:w="750"/>
        <w:gridCol w:w="2720"/>
      </w:tblGrid>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NUME OBIECTIV</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DESCRIEREA OBIECTIVULUI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ITEMI</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Mod de lucru/ Tehnici utilizate</w:t>
            </w: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COMUNICĂRII</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cererilor: verbale sau nonverbale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atenției împărtășite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ABILITĂȚILOR DE PARTICIPARE LA ACTIVITĂȚI</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contactului vizual</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Răspunde la instrucțiunile de participare la activități</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LIMBAJULU receptiv</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Identificarea receptivă a obiectelor din mediu</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lastRenderedPageBreak/>
              <w:t>Identificarea persoanelor, acțiunilor etc.</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LIMBAJULUI expresiv</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imitației verbale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Identificarea expresivă a obiectelor din mediu</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Identificarea persoanelor, acțiunilor etc.</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SOCIALĂ</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abilității de a imita</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Răspuns la nume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jocului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Joc cu alt copil</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COGNITIVĂ</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abilității de a face asocieri</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Activități matematice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FIZICĂ/COORDONARE VIZUAL MOTRICĂ</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Desen/ colorat/ scris</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Decupat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Utilizarea obiectelor</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AUTONOMIEI ȘI INDEPENDENȚEI PERSONALE</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activităților/jocurilor independente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Dezvoltarea abilităților de îngrijire personală</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Alimentație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bl>
    <w:p w:rsidR="00000000" w:rsidRDefault="00EF2E59">
      <w:pPr>
        <w:autoSpaceDE/>
        <w:autoSpaceDN/>
        <w:jc w:val="both"/>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1210"/>
        <w:gridCol w:w="3025"/>
        <w:gridCol w:w="2191"/>
        <w:gridCol w:w="4504"/>
      </w:tblGrid>
      <w:tr w:rsidR="00000000">
        <w:trPr>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GENERALIZAREA OBIECTIVELOR însușite/masterate</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Nume obiectiv</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Generalizarea stimulilor discriminativi/ solicitărilor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Generalizarea mediului de lucru</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Generalizarea persoanelor care solicită copilul să demonstreze abilitatea respectivă</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bl>
    <w:p w:rsidR="00000000" w:rsidRDefault="00EF2E59">
      <w:pPr>
        <w:autoSpaceDE/>
        <w:autoSpaceDN/>
        <w:jc w:val="both"/>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3093"/>
        <w:gridCol w:w="3439"/>
        <w:gridCol w:w="4398"/>
      </w:tblGrid>
      <w:tr w:rsidR="00000000">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PLAN DE INTERVENȚIE LA DOMICILIU</w:t>
            </w:r>
          </w:p>
        </w:tc>
      </w:tr>
      <w:tr w:rsidR="00000000">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Vor fi selectate obiective din planul de intervenție care trebuie continuate de către părinți la domiciliu.</w:t>
            </w:r>
          </w:p>
          <w:p w:rsidR="00000000" w:rsidRDefault="00EF2E59">
            <w:pPr>
              <w:pStyle w:val="spar"/>
              <w:jc w:val="both"/>
              <w:rPr>
                <w:rFonts w:ascii="Verdana" w:hAnsi="Verdana"/>
                <w:color w:val="0000FF"/>
                <w:sz w:val="16"/>
                <w:szCs w:val="16"/>
              </w:rPr>
            </w:pPr>
            <w:r>
              <w:rPr>
                <w:rFonts w:ascii="Verdana" w:hAnsi="Verdana"/>
                <w:color w:val="0000FF"/>
                <w:sz w:val="16"/>
                <w:szCs w:val="16"/>
              </w:rPr>
              <w:t>Fișa de obiective va fi urmărită zilnic de către părinți și se vor colecta date ce vor fi discutate împreună cu psihologul care aplică planul de int</w:t>
            </w:r>
            <w:r>
              <w:rPr>
                <w:rFonts w:ascii="Verdana" w:hAnsi="Verdana"/>
                <w:color w:val="0000FF"/>
                <w:sz w:val="16"/>
                <w:szCs w:val="16"/>
              </w:rPr>
              <w:t>ervenție.</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Obiectiv</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Descriere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pStyle w:val="spar"/>
              <w:jc w:val="both"/>
              <w:rPr>
                <w:rFonts w:ascii="Verdana" w:hAnsi="Verdana"/>
                <w:color w:val="0000FF"/>
                <w:sz w:val="16"/>
                <w:szCs w:val="16"/>
              </w:rPr>
            </w:pPr>
            <w:r>
              <w:rPr>
                <w:rFonts w:ascii="Verdana" w:hAnsi="Verdana"/>
                <w:color w:val="0000FF"/>
                <w:sz w:val="16"/>
                <w:szCs w:val="16"/>
              </w:rPr>
              <w:t>Notări părinți</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EF2E59">
            <w:pPr>
              <w:rPr>
                <w:rFonts w:eastAsia="Times New Roman"/>
                <w:color w:val="0000FF"/>
                <w:sz w:val="16"/>
              </w:rPr>
            </w:pPr>
          </w:p>
        </w:tc>
      </w:tr>
    </w:tbl>
    <w:p w:rsidR="00EF2E59" w:rsidRDefault="00EF2E59">
      <w:pPr>
        <w:pStyle w:val="spar"/>
        <w:shd w:val="clear" w:color="auto" w:fill="E6FFF7"/>
        <w:jc w:val="both"/>
      </w:pPr>
      <w:r>
        <w:rPr>
          <w:rFonts w:ascii="Verdana" w:hAnsi="Verdana"/>
          <w:color w:val="000000"/>
          <w:sz w:val="16"/>
          <w:szCs w:val="16"/>
          <w:shd w:val="clear" w:color="auto" w:fill="FFFFFF"/>
        </w:rPr>
        <w:t xml:space="preserve">La data de 26-09-2023 </w:t>
      </w:r>
      <w:r>
        <w:rPr>
          <w:rFonts w:ascii="Verdana" w:hAnsi="Verdana"/>
          <w:b/>
          <w:bCs/>
          <w:color w:val="000000"/>
          <w:sz w:val="16"/>
          <w:szCs w:val="16"/>
          <w:shd w:val="clear" w:color="auto" w:fill="FFFFFF"/>
        </w:rPr>
        <w:t>Actul</w:t>
      </w:r>
      <w:r>
        <w:rPr>
          <w:rFonts w:ascii="Verdana" w:hAnsi="Verdana"/>
          <w:color w:val="000000"/>
          <w:sz w:val="16"/>
          <w:szCs w:val="16"/>
          <w:shd w:val="clear" w:color="auto" w:fill="FFFFFF"/>
        </w:rPr>
        <w:t xml:space="preserve"> a fost completat de </w:t>
      </w:r>
      <w:hyperlink w:tgtFrame="" w:history="1">
        <w:r>
          <w:rPr>
            <w:rStyle w:val="Hyperlink"/>
            <w:rFonts w:ascii="Verdana" w:hAnsi="Verdana"/>
            <w:sz w:val="16"/>
            <w:szCs w:val="16"/>
            <w:shd w:val="clear" w:color="auto" w:fill="FFFFFF"/>
          </w:rPr>
          <w:t>Punctul 52 al articolului I din ORDINUL nr. 774 din 18 septembrie 2023, publicat în MONITORUL OFICIAL nr. 866 din 26 septembrie 2023</w:t>
        </w:r>
      </w:hyperlink>
    </w:p>
    <w:sectPr w:rsidR="00EF2E59">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compat/>
  <w:rsids>
    <w:rsidRoot w:val="00FD6575"/>
    <w:rsid w:val="00EF2E59"/>
    <w:rsid w:val="00FD657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4" w:space="0" w:color="auto"/>
        <w:left w:val="single" w:sz="4" w:space="0" w:color="auto"/>
        <w:bottom w:val="single" w:sz="4" w:space="0" w:color="auto"/>
        <w:right w:val="single" w:sz="4" w:space="0" w:color="auto"/>
      </w:pBdr>
      <w:shd w:val="clear" w:color="auto" w:fill="EEEEFF"/>
      <w:autoSpaceDE/>
      <w:autoSpaceDN/>
      <w:spacing w:before="100" w:beforeAutospacing="1" w:after="100" w:afterAutospacing="1"/>
      <w:ind w:right="72"/>
    </w:pPr>
    <w:rPr>
      <w:rFonts w:ascii="Arial" w:eastAsiaTheme="minorEastAsia" w:hAnsi="Arial" w:cs="Arial"/>
      <w:vanish/>
      <w:sz w:val="14"/>
      <w:szCs w:val="14"/>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180"/>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litshort">
    <w:name w:val="s_lit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aln">
    <w:name w:val="s_aln"/>
    <w:basedOn w:val="Normal"/>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alnshort">
    <w:name w:val="s_aln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lin">
    <w:name w:val="s_lin"/>
    <w:basedOn w:val="Normal"/>
    <w:pPr>
      <w:pBdr>
        <w:top w:val="dotted" w:sz="4" w:space="0" w:color="FEFEFE"/>
        <w:left w:val="dotted" w:sz="4" w:space="0"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pct">
    <w:name w:val="s_pct"/>
    <w:basedOn w:val="Normal"/>
    <w:pPr>
      <w:pBdr>
        <w:top w:val="dotted" w:sz="4" w:space="0" w:color="FEFEFE"/>
        <w:left w:val="dotted" w:sz="4" w:space="15"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24"/>
      <w:szCs w:val="24"/>
    </w:rPr>
  </w:style>
  <w:style w:type="paragraph" w:customStyle="1" w:styleId="shdr">
    <w:name w:val="s_hdr"/>
    <w:basedOn w:val="Normal"/>
    <w:pPr>
      <w:autoSpaceDE/>
      <w:autoSpaceDN/>
      <w:spacing w:before="72" w:after="72"/>
      <w:ind w:left="72" w:right="72"/>
    </w:pPr>
    <w:rPr>
      <w:rFonts w:eastAsiaTheme="minorEastAsia"/>
      <w:b/>
      <w:bCs/>
      <w:color w:val="333333"/>
      <w:sz w:val="16"/>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17"/>
      <w:szCs w:val="17"/>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 w:val="14"/>
      <w:szCs w:val="14"/>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17"/>
      <w:szCs w:val="17"/>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17"/>
      <w:szCs w:val="17"/>
    </w:rPr>
  </w:style>
  <w:style w:type="paragraph" w:customStyle="1" w:styleId="sntapar">
    <w:name w:val="s_nta_par"/>
    <w:basedOn w:val="Normal"/>
    <w:pPr>
      <w:autoSpaceDE/>
      <w:autoSpaceDN/>
      <w:spacing w:before="100" w:beforeAutospacing="1" w:after="100" w:afterAutospacing="1"/>
    </w:pPr>
    <w:rPr>
      <w:rFonts w:eastAsiaTheme="minorEastAsia"/>
      <w:color w:val="000000"/>
      <w:sz w:val="13"/>
      <w:szCs w:val="13"/>
    </w:rPr>
  </w:style>
  <w:style w:type="paragraph" w:customStyle="1" w:styleId="snccpar">
    <w:name w:val="s_ncc_par"/>
    <w:basedOn w:val="Normal"/>
    <w:pPr>
      <w:autoSpaceDE/>
      <w:autoSpaceDN/>
      <w:spacing w:before="100" w:beforeAutospacing="1" w:after="100" w:afterAutospacing="1"/>
    </w:pPr>
    <w:rPr>
      <w:rFonts w:eastAsiaTheme="minorEastAsia"/>
      <w:color w:val="808080"/>
      <w:sz w:val="13"/>
      <w:szCs w:val="13"/>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3"/>
      <w:szCs w:val="13"/>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16"/>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16"/>
    </w:rPr>
  </w:style>
  <w:style w:type="paragraph" w:customStyle="1" w:styleId="scit">
    <w:name w:val="s_cit"/>
    <w:basedOn w:val="Normal"/>
    <w:pPr>
      <w:shd w:val="clear" w:color="auto" w:fill="FFFFE0"/>
      <w:autoSpaceDE/>
      <w:autoSpaceDN/>
      <w:spacing w:before="144" w:after="144"/>
      <w:ind w:left="144" w:right="144"/>
    </w:pPr>
    <w:rPr>
      <w:rFonts w:ascii="Times New Roman" w:eastAsiaTheme="minorEastAsia" w:hAnsi="Times New Roman"/>
      <w:sz w:val="13"/>
      <w:szCs w:val="13"/>
    </w:rPr>
  </w:style>
  <w:style w:type="paragraph" w:customStyle="1" w:styleId="sartttl">
    <w:name w:val="s_art_ttl"/>
    <w:basedOn w:val="Normal"/>
    <w:pPr>
      <w:autoSpaceDE/>
      <w:autoSpaceDN/>
    </w:pPr>
    <w:rPr>
      <w:rFonts w:eastAsiaTheme="minorEastAsia"/>
      <w:b/>
      <w:bCs/>
      <w:color w:val="24689B"/>
      <w:sz w:val="16"/>
    </w:rPr>
  </w:style>
  <w:style w:type="paragraph" w:customStyle="1" w:styleId="sartden">
    <w:name w:val="s_art_den"/>
    <w:basedOn w:val="Normal"/>
    <w:pPr>
      <w:autoSpaceDE/>
      <w:autoSpaceDN/>
    </w:pPr>
    <w:rPr>
      <w:rFonts w:eastAsiaTheme="minorEastAsia"/>
      <w:b/>
      <w:bCs/>
      <w:color w:val="24689B"/>
      <w:sz w:val="16"/>
    </w:rPr>
  </w:style>
  <w:style w:type="paragraph" w:customStyle="1" w:styleId="sporttl">
    <w:name w:val="s_por_ttl"/>
    <w:basedOn w:val="Normal"/>
    <w:pPr>
      <w:autoSpaceDE/>
      <w:autoSpaceDN/>
    </w:pPr>
    <w:rPr>
      <w:rFonts w:eastAsiaTheme="minorEastAsia"/>
      <w:b/>
      <w:bCs/>
      <w:color w:val="8B0000"/>
      <w:sz w:val="17"/>
      <w:szCs w:val="17"/>
    </w:rPr>
  </w:style>
  <w:style w:type="paragraph" w:customStyle="1" w:styleId="sporden">
    <w:name w:val="s_por_den"/>
    <w:basedOn w:val="Normal"/>
    <w:pPr>
      <w:autoSpaceDE/>
      <w:autoSpaceDN/>
    </w:pPr>
    <w:rPr>
      <w:rFonts w:eastAsiaTheme="minorEastAsia"/>
      <w:b/>
      <w:bCs/>
      <w:color w:val="8B0000"/>
      <w:sz w:val="17"/>
      <w:szCs w:val="17"/>
    </w:rPr>
  </w:style>
  <w:style w:type="paragraph" w:customStyle="1" w:styleId="sblcttl">
    <w:name w:val="s_blc_ttl"/>
    <w:basedOn w:val="Normal"/>
    <w:pPr>
      <w:autoSpaceDE/>
      <w:autoSpaceDN/>
    </w:pPr>
    <w:rPr>
      <w:rFonts w:eastAsiaTheme="minorEastAsia"/>
      <w:b/>
      <w:bCs/>
      <w:color w:val="8B0000"/>
      <w:sz w:val="17"/>
      <w:szCs w:val="17"/>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16"/>
    </w:rPr>
  </w:style>
  <w:style w:type="paragraph" w:customStyle="1" w:styleId="sanxttl">
    <w:name w:val="s_anx_ttl"/>
    <w:basedOn w:val="Normal"/>
    <w:pPr>
      <w:autoSpaceDE/>
      <w:autoSpaceDN/>
      <w:jc w:val="center"/>
    </w:pPr>
    <w:rPr>
      <w:rFonts w:eastAsiaTheme="minorEastAsia"/>
      <w:b/>
      <w:bCs/>
      <w:color w:val="24689B"/>
      <w:sz w:val="16"/>
    </w:rPr>
  </w:style>
  <w:style w:type="paragraph" w:customStyle="1" w:styleId="sanxden">
    <w:name w:val="s_anx_den"/>
    <w:basedOn w:val="Normal"/>
    <w:pPr>
      <w:autoSpaceDE/>
      <w:autoSpaceDN/>
      <w:jc w:val="center"/>
    </w:pPr>
    <w:rPr>
      <w:rFonts w:eastAsiaTheme="minorEastAsia"/>
      <w:b/>
      <w:bCs/>
      <w:color w:val="24689B"/>
      <w:sz w:val="16"/>
    </w:rPr>
  </w:style>
  <w:style w:type="paragraph" w:customStyle="1" w:styleId="sapnttl">
    <w:name w:val="s_apn_ttl"/>
    <w:basedOn w:val="Normal"/>
    <w:pPr>
      <w:autoSpaceDE/>
      <w:autoSpaceDN/>
    </w:pPr>
    <w:rPr>
      <w:rFonts w:eastAsiaTheme="minorEastAsia"/>
      <w:b/>
      <w:bCs/>
      <w:color w:val="24689B"/>
      <w:sz w:val="16"/>
    </w:rPr>
  </w:style>
  <w:style w:type="paragraph" w:customStyle="1" w:styleId="sapnden">
    <w:name w:val="s_apn_den"/>
    <w:basedOn w:val="Normal"/>
    <w:pPr>
      <w:autoSpaceDE/>
      <w:autoSpaceDN/>
    </w:pPr>
    <w:rPr>
      <w:rFonts w:eastAsiaTheme="minorEastAsia"/>
      <w:b/>
      <w:bCs/>
      <w:color w:val="24689B"/>
      <w:sz w:val="16"/>
    </w:rPr>
  </w:style>
  <w:style w:type="paragraph" w:customStyle="1" w:styleId="scrtttl">
    <w:name w:val="s_crt_ttl"/>
    <w:basedOn w:val="Normal"/>
    <w:pPr>
      <w:autoSpaceDE/>
      <w:autoSpaceDN/>
      <w:jc w:val="center"/>
    </w:pPr>
    <w:rPr>
      <w:rFonts w:eastAsiaTheme="minorEastAsia"/>
      <w:b/>
      <w:bCs/>
      <w:color w:val="006400"/>
      <w:sz w:val="22"/>
      <w:szCs w:val="22"/>
    </w:rPr>
  </w:style>
  <w:style w:type="paragraph" w:customStyle="1" w:styleId="scrtden">
    <w:name w:val="s_crt_den"/>
    <w:basedOn w:val="Normal"/>
    <w:pPr>
      <w:autoSpaceDE/>
      <w:autoSpaceDN/>
      <w:jc w:val="center"/>
    </w:pPr>
    <w:rPr>
      <w:rFonts w:eastAsiaTheme="minorEastAsia"/>
      <w:b/>
      <w:bCs/>
      <w:color w:val="006400"/>
      <w:sz w:val="22"/>
      <w:szCs w:val="22"/>
    </w:rPr>
  </w:style>
  <w:style w:type="paragraph" w:customStyle="1" w:styleId="sprtttl">
    <w:name w:val="s_prt_ttl"/>
    <w:basedOn w:val="Normal"/>
    <w:pPr>
      <w:autoSpaceDE/>
      <w:autoSpaceDN/>
      <w:jc w:val="center"/>
    </w:pPr>
    <w:rPr>
      <w:rFonts w:eastAsiaTheme="minorEastAsia"/>
      <w:b/>
      <w:bCs/>
      <w:color w:val="006400"/>
      <w:sz w:val="22"/>
      <w:szCs w:val="22"/>
    </w:rPr>
  </w:style>
  <w:style w:type="paragraph" w:customStyle="1" w:styleId="sprtden">
    <w:name w:val="s_prt_den"/>
    <w:basedOn w:val="Normal"/>
    <w:pPr>
      <w:autoSpaceDE/>
      <w:autoSpaceDN/>
      <w:jc w:val="center"/>
    </w:pPr>
    <w:rPr>
      <w:rFonts w:eastAsiaTheme="minorEastAsia"/>
      <w:b/>
      <w:bCs/>
      <w:color w:val="006400"/>
      <w:sz w:val="22"/>
      <w:szCs w:val="22"/>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17"/>
      <w:szCs w:val="17"/>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0"/>
      <w:szCs w:val="20"/>
    </w:rPr>
  </w:style>
  <w:style w:type="paragraph" w:customStyle="1" w:styleId="sttlden">
    <w:name w:val="s_ttl_den"/>
    <w:basedOn w:val="Normal"/>
    <w:pPr>
      <w:autoSpaceDE/>
      <w:autoSpaceDN/>
      <w:jc w:val="center"/>
    </w:pPr>
    <w:rPr>
      <w:rFonts w:eastAsiaTheme="minorEastAsia"/>
      <w:b/>
      <w:bCs/>
      <w:color w:val="8B0000"/>
      <w:sz w:val="20"/>
      <w:szCs w:val="20"/>
    </w:rPr>
  </w:style>
  <w:style w:type="paragraph" w:customStyle="1" w:styleId="scapttl">
    <w:name w:val="s_cap_ttl"/>
    <w:basedOn w:val="Normal"/>
    <w:pPr>
      <w:autoSpaceDE/>
      <w:autoSpaceDN/>
      <w:jc w:val="center"/>
    </w:pPr>
    <w:rPr>
      <w:rFonts w:eastAsiaTheme="minorEastAsia"/>
      <w:b/>
      <w:bCs/>
      <w:color w:val="A52A2A"/>
      <w:sz w:val="19"/>
      <w:szCs w:val="19"/>
    </w:rPr>
  </w:style>
  <w:style w:type="paragraph" w:customStyle="1" w:styleId="scapden">
    <w:name w:val="s_cap_den"/>
    <w:basedOn w:val="Normal"/>
    <w:pPr>
      <w:autoSpaceDE/>
      <w:autoSpaceDN/>
      <w:jc w:val="center"/>
    </w:pPr>
    <w:rPr>
      <w:rFonts w:eastAsiaTheme="minorEastAsia"/>
      <w:b/>
      <w:bCs/>
      <w:color w:val="A52A2A"/>
      <w:sz w:val="19"/>
      <w:szCs w:val="19"/>
    </w:rPr>
  </w:style>
  <w:style w:type="paragraph" w:customStyle="1" w:styleId="ssbcttl">
    <w:name w:val="s_sbc_ttl"/>
    <w:basedOn w:val="Normal"/>
    <w:pPr>
      <w:autoSpaceDE/>
      <w:autoSpaceDN/>
    </w:pPr>
    <w:rPr>
      <w:rFonts w:eastAsiaTheme="minorEastAsia"/>
      <w:b/>
      <w:bCs/>
      <w:color w:val="000000"/>
      <w:szCs w:val="18"/>
    </w:rPr>
  </w:style>
  <w:style w:type="paragraph" w:customStyle="1" w:styleId="ssbcden">
    <w:name w:val="s_sbc_den"/>
    <w:basedOn w:val="Normal"/>
    <w:pPr>
      <w:autoSpaceDE/>
      <w:autoSpaceDN/>
    </w:pPr>
    <w:rPr>
      <w:rFonts w:eastAsiaTheme="minorEastAsia"/>
      <w:b/>
      <w:bCs/>
      <w:color w:val="000000"/>
      <w:szCs w:val="18"/>
    </w:rPr>
  </w:style>
  <w:style w:type="paragraph" w:customStyle="1" w:styleId="ssecttl">
    <w:name w:val="s_sec_ttl"/>
    <w:basedOn w:val="Normal"/>
    <w:pPr>
      <w:autoSpaceDE/>
      <w:autoSpaceDN/>
      <w:jc w:val="center"/>
    </w:pPr>
    <w:rPr>
      <w:rFonts w:eastAsiaTheme="minorEastAsia"/>
      <w:b/>
      <w:bCs/>
      <w:color w:val="000000"/>
      <w:szCs w:val="18"/>
    </w:rPr>
  </w:style>
  <w:style w:type="paragraph" w:customStyle="1" w:styleId="ssecden">
    <w:name w:val="s_sec_den"/>
    <w:basedOn w:val="Normal"/>
    <w:pPr>
      <w:autoSpaceDE/>
      <w:autoSpaceDN/>
      <w:jc w:val="center"/>
    </w:pPr>
    <w:rPr>
      <w:rFonts w:eastAsiaTheme="minorEastAsia"/>
      <w:b/>
      <w:bCs/>
      <w:color w:val="000000"/>
      <w:szCs w:val="18"/>
    </w:rPr>
  </w:style>
  <w:style w:type="paragraph" w:customStyle="1" w:styleId="sprgttl">
    <w:name w:val="s_prg_ttl"/>
    <w:basedOn w:val="Normal"/>
    <w:pPr>
      <w:autoSpaceDE/>
      <w:autoSpaceDN/>
      <w:jc w:val="center"/>
    </w:pPr>
    <w:rPr>
      <w:rFonts w:eastAsiaTheme="minorEastAsia"/>
      <w:b/>
      <w:bCs/>
      <w:color w:val="000000"/>
      <w:sz w:val="17"/>
      <w:szCs w:val="17"/>
    </w:rPr>
  </w:style>
  <w:style w:type="paragraph" w:customStyle="1" w:styleId="sprgden">
    <w:name w:val="s_prg_den"/>
    <w:basedOn w:val="Normal"/>
    <w:pPr>
      <w:autoSpaceDE/>
      <w:autoSpaceDN/>
      <w:jc w:val="center"/>
    </w:pPr>
    <w:rPr>
      <w:rFonts w:eastAsiaTheme="minorEastAsia"/>
      <w:b/>
      <w:bCs/>
      <w:color w:val="000000"/>
      <w:sz w:val="17"/>
      <w:szCs w:val="17"/>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Pr>
      <w:rFonts w:ascii="Arial" w:hAnsi="Arial" w:cs="Arial" w:hint="default"/>
      <w:b/>
      <w:bCs/>
      <w:color w:val="000000"/>
      <w:sz w:val="17"/>
      <w:szCs w:val="17"/>
      <w:shd w:val="clear" w:color="auto" w:fill="FFFFFF"/>
    </w:rPr>
  </w:style>
  <w:style w:type="character" w:customStyle="1" w:styleId="semtbdy1">
    <w:name w:val="s_emt_bdy1"/>
    <w:basedOn w:val="DefaultParagraphFont"/>
    <w:rPr>
      <w:rFonts w:ascii="Verdana" w:hAnsi="Verdana" w:hint="default"/>
      <w:b/>
      <w:bCs/>
      <w:color w:val="006400"/>
      <w:sz w:val="14"/>
      <w:szCs w:val="14"/>
      <w:shd w:val="clear" w:color="auto" w:fill="FFFFFF"/>
    </w:rPr>
  </w:style>
  <w:style w:type="character" w:customStyle="1" w:styleId="spubttl">
    <w:name w:val="s_pub_ttl"/>
    <w:basedOn w:val="DefaultParagraphFont"/>
    <w:rPr>
      <w:rFonts w:ascii="Verdana" w:hAnsi="Verdana" w:hint="default"/>
      <w:b w:val="0"/>
      <w:bCs w:val="0"/>
      <w:color w:val="000000"/>
      <w:sz w:val="16"/>
      <w:szCs w:val="16"/>
      <w:shd w:val="clear" w:color="auto" w:fill="FFFFFF"/>
    </w:rPr>
  </w:style>
  <w:style w:type="character" w:customStyle="1" w:styleId="spubbdy1">
    <w:name w:val="s_pub_bdy1"/>
    <w:basedOn w:val="DefaultParagraphFont"/>
    <w:rPr>
      <w:rFonts w:ascii="Verdana" w:hAnsi="Verdana" w:hint="default"/>
      <w:b/>
      <w:bCs/>
      <w:color w:val="24689B"/>
      <w:sz w:val="17"/>
      <w:szCs w:val="17"/>
      <w:shd w:val="clear" w:color="auto" w:fill="FFFFFF"/>
    </w:rPr>
  </w:style>
  <w:style w:type="character" w:customStyle="1" w:styleId="sanxbdy">
    <w:name w:val="s_anx_bdy"/>
    <w:basedOn w:val="DefaultParagraphFont"/>
    <w:rPr>
      <w:rFonts w:ascii="Verdana" w:hAnsi="Verdana" w:hint="default"/>
      <w:b w:val="0"/>
      <w:bCs w:val="0"/>
      <w:color w:val="000000"/>
      <w:sz w:val="16"/>
      <w:szCs w:val="16"/>
      <w:shd w:val="clear" w:color="auto" w:fill="FFFFFF"/>
    </w:rPr>
  </w:style>
  <w:style w:type="character" w:customStyle="1" w:styleId="aelementcenter1">
    <w:name w:val="a_element_center1"/>
    <w:basedOn w:val="DefaultParagraphFont"/>
    <w:rPr>
      <w:rFonts w:ascii="Verdana" w:hAnsi="Verdana" w:hint="default"/>
      <w:b w:val="0"/>
      <w:bCs w:val="0"/>
      <w:vanish w:val="0"/>
      <w:webHidden w:val="0"/>
      <w:color w:val="000000"/>
      <w:sz w:val="16"/>
      <w:szCs w:val="16"/>
      <w:shd w:val="clear" w:color="auto" w:fill="FFFFFF"/>
      <w:specVanish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5024722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4048</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cp:lastPrinted>2023-11-02T11:09:00Z</cp:lastPrinted>
  <dcterms:created xsi:type="dcterms:W3CDTF">2023-11-02T11:10:00Z</dcterms:created>
  <dcterms:modified xsi:type="dcterms:W3CDTF">2023-11-02T11:10:00Z</dcterms:modified>
</cp:coreProperties>
</file>