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ANEXA 30 A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A. PACHET DE SERVICII MEDICALE DE BAZĂ PENTRU ÎNGRIJIRI MEDICALE LA DOMICILIU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17"/>
        <w:gridCol w:w="8971"/>
      </w:tblGrid>
      <w:tr>
        <w:trPr>
          <w:trHeight w:hRule="atLeast" w:val="418"/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Serviciul de îngrijire medicală la domiciliu        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>
        <w:trPr>
          <w:trHeight w:hRule="atLeast" w:val="1060"/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Măsurarea parametrilor fiziologici: temperatură, respiraţie, puls, TA, diureză şi scaun*****)           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*****) Recomandarea serviciului se face de către medici pentru toţi parametrii prevăzuţi, respectiv: temperatură, respiraţie, puls, TA, diureză şi scaun           </w:t>
            </w:r>
          </w:p>
        </w:tc>
      </w:tr>
      <w:tr>
        <w:trPr>
          <w:cantSplit w:val="false"/>
        </w:trPr>
        <w:tc>
          <w:tcPr>
            <w:tcW w:type="dxa" w:w="9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Administrarea medicamentelor:                                 </w:t>
            </w:r>
          </w:p>
        </w:tc>
      </w:tr>
      <w:tr>
        <w:trPr>
          <w:cantSplit w:val="false"/>
        </w:trPr>
        <w:tc>
          <w:tcPr>
            <w:tcW w:type="dxa" w:w="9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2.1. intramuscular*)                                          </w:t>
            </w:r>
          </w:p>
        </w:tc>
      </w:tr>
      <w:tr>
        <w:trPr>
          <w:cantSplit w:val="false"/>
        </w:trPr>
        <w:tc>
          <w:tcPr>
            <w:tcW w:type="dxa" w:w="9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2.2. subcutanat*)                                             </w:t>
            </w:r>
          </w:p>
        </w:tc>
      </w:tr>
      <w:tr>
        <w:trPr>
          <w:cantSplit w:val="false"/>
        </w:trPr>
        <w:tc>
          <w:tcPr>
            <w:tcW w:type="dxa" w:w="9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2.3. intradermic*)                                            </w:t>
            </w:r>
          </w:p>
        </w:tc>
      </w:tr>
      <w:tr>
        <w:trPr>
          <w:cantSplit w:val="false"/>
        </w:trPr>
        <w:tc>
          <w:tcPr>
            <w:tcW w:type="dxa" w:w="9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2.4. oral                                                     </w:t>
            </w:r>
          </w:p>
        </w:tc>
      </w:tr>
      <w:tr>
        <w:trPr>
          <w:cantSplit w:val="false"/>
        </w:trPr>
        <w:tc>
          <w:tcPr>
            <w:tcW w:type="dxa" w:w="9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2.5. pe mucoase                                               </w:t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9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*) În afara injecţiilor şi perfuziilor cu produse de origine umană.                            </w:t>
            </w:r>
          </w:p>
        </w:tc>
      </w:tr>
      <w:tr>
        <w:trPr>
          <w:trHeight w:hRule="atLeast" w:val="459"/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Administrarea medicamentelor intravenos, cu respectarea  legislaţiei în vigoare*)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*) În afara injecţiilor şi perfuziilor cu produse de origine umană.                         </w:t>
            </w:r>
          </w:p>
        </w:tc>
      </w:tr>
      <w:tr>
        <w:trPr>
          <w:trHeight w:hRule="atLeast" w:val="1060"/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Sondaj vezical, îngrijirea sondei urinare şi administrarea medicamentelor intravezical pe sondă vezicală***)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***) la bărbaţi se efectuează de către medicul care îşi desfăşoară activitatea într-o formă legală la furnizorul de îngrijiri medicale la domiciliu                               </w:t>
            </w:r>
          </w:p>
        </w:tc>
      </w:tr>
      <w:tr>
        <w:trPr>
          <w:trHeight w:hRule="atLeast" w:val="846"/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Administrarea medicamentelor prin perfuzie endovenoasă, cu  respectarea legislaţiei în vigoare*)      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*) În afara injecţiilor şi perfuziilor cu produse de origine umană.       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Alimentarea artificială pe gastrostomă/sondă gastrică şi educarea asiguratului/aparţinătorilor                         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Alimentarea pasivă, pentru bolnavii cu tulburări de deglutiţie, inclusiv instruirea asiguratului/aparţinătorului  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Clismă cu scop evacuator                                      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Spălătură vaginală în cazuri de deficit motor                 </w:t>
            </w:r>
          </w:p>
        </w:tc>
      </w:tr>
      <w:tr>
        <w:trPr>
          <w:trHeight w:hRule="atLeast" w:val="846"/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Manevre terapeutice pentru evitarea complicaţiilor vasculare ale membrelor inferioare/escarelor de decubit: mobilizare, masaj, aplicaţii medicamentoase, utilizarea colacilor de cauciuc şi a rulourilor                                       </w:t>
            </w:r>
          </w:p>
        </w:tc>
      </w:tr>
      <w:tr>
        <w:trPr>
          <w:trHeight w:hRule="atLeast" w:val="418"/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Manevre terapeutice pentru evitarea complicaţiilor pulmonare: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posturi de drenaj bronşic, tapotaj, fizioterapie respiratorie </w:t>
            </w:r>
          </w:p>
        </w:tc>
      </w:tr>
      <w:tr>
        <w:trPr>
          <w:trHeight w:hRule="atLeast" w:val="297"/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Îngrijirea plăgilor simple şi/sau suprainfectate/suprimarea firelor      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Îngrijirea escarelor multiple                                 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Îngrijirea stomelor                                           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Îngrijirea fistulelor                                         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Îngrijirea tubului de dren şi instruirea asiguratului         </w:t>
            </w:r>
          </w:p>
        </w:tc>
      </w:tr>
      <w:tr>
        <w:trPr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Îngrijirea canulei traheale şi instruirea asiguratului        </w:t>
            </w:r>
          </w:p>
        </w:tc>
      </w:tr>
      <w:tr>
        <w:trPr>
          <w:trHeight w:hRule="atLeast" w:val="846"/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Aplicarea de ploscă, bazinet, condom urinar, mijloc ajutător pentru absorbţia urinei**) 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**) Este inclus şi mijlocul ajutător pentru absorbţia urinei, minim 2 mijloace ajutătoare pentru absorbţia urinei/zi.       </w:t>
            </w:r>
          </w:p>
        </w:tc>
      </w:tr>
      <w:tr>
        <w:trPr>
          <w:trHeight w:hRule="atLeast" w:val="2399"/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Ventilaţie noninvazivă****)                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****) Se efectuează sub supravegherea medicului pneumolog cu atestat în Managementul general, clinic şi terapeutic al tulburărilor respiratorii din timpul somnului - Somnologie poligrafie,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în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Managementul general, clinic şi terapeutic al tulburărilor respiratorii din timpul somnului - Somnologie  poligrafie, polisomnografie şi titrare CPAP/BiPAP şi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în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Managementul general, clinic şi terapeutic al tulburărilor respiratorii - Ventilaţie noninvazivă, a medicului cu specialitatea Anestezie şi terapie intensivă, a medicului specialist de medicină de urgenţă, care îşi desfăşoară activitatea într-o formă legală la furnizorul de îngrijiri medicale la domiciliu                                         </w:t>
            </w:r>
          </w:p>
        </w:tc>
      </w:tr>
      <w:tr>
        <w:trPr>
          <w:trHeight w:hRule="atLeast" w:val="1488"/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Alimentaţie parenterală - alimentaţie artificială pe cateter venos central sau periferic****)           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****) Se efectuează sub supravegherea medicului cu specialitatea anestezie şi terapie intensivă care îşi desfăşoară activitatea într-o formă legală la furnizorul de îngrijiri medicale la domiciliu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Serviciul nu include alimentele specifice.                    </w:t>
            </w:r>
          </w:p>
        </w:tc>
      </w:tr>
      <w:tr>
        <w:trPr>
          <w:trHeight w:hRule="atLeast" w:val="967"/>
          <w:cantSplit w:val="false"/>
        </w:trPr>
        <w:tc>
          <w:tcPr>
            <w:tcW w:type="dxa" w:w="9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type="dxa" w:w="89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Kinetoterapie individuală*****)                             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*****) Se efectuează doar de fizioterapeutul, care îşi desfăşoară activitatea într-o formă legală la furnizorul de îngrijiri medicale la domiciliu                 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NOTA: Serviciile de îngrijire medicală la domiciliu se acordă în condiţiile stabilite prin anexa nr. 31A la prezentul ordin.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b/>
          <w:bCs/>
          <w:sz w:val="24"/>
          <w:szCs w:val="24"/>
        </w:rPr>
        <w:t>B. PACHETUL DE SERVICII PENTRU PACIENŢII DIN STATELE MEMBRE ALE UNIUNII EUROPENE/SPAŢIULUI ECONOMIC EUROPEAN/CONFEDERAŢIA ELVEŢIANĂ/REGATUL UNIT AL MARII BRITANII ŞI IRLANDEI DE NORD, BENEFICIARI AI FORMULARELOR/DOCUMENTELOR EUROPENE EMISE ÎN BAZA REGULAMENTULUI (CE) NR. 883/2004 AL PARLAMENTULUI EUROPEAN ŞI AL CONSILIULUI DIN 29 APRILIE 2004 PRIVIND COORDONAREA SISTEMELOR DE SECURITATE SOCIALĂ ŞI PENTRU PACIENŢII DIN STATELE CU CARE ROMÂNIA A ÎNCHEIAT ACORDURI, ÎNŢELEGERI, CONVENŢII SAU PROTOCOALE INTERNAŢIONALE CU PREVEDERI ÎN DOMENIUL SĂNĂTĂŢII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>1. Pacienţii din statele membre ale Uniunii Europene/Spaţiului Economic European/Confederaţia Elveţiană/</w:t>
      </w:r>
      <w:r>
        <w:rPr>
          <w:rFonts w:ascii="Times New Roman" w:cs="Times New Roman" w:hAnsi="Times New Roman"/>
          <w:bCs/>
          <w:sz w:val="24"/>
          <w:szCs w:val="24"/>
        </w:rPr>
        <w:t>Regatul Unit al Marii Britanii şi Irlandei de Nord</w:t>
      </w:r>
      <w:r>
        <w:rPr>
          <w:rFonts w:ascii="Times New Roman" w:cs="Times New Roman" w:hAnsi="Times New Roman"/>
          <w:sz w:val="24"/>
          <w:szCs w:val="24"/>
        </w:rPr>
        <w:t>, beneficiari ai formularelor/documentelor europene emise în baza Regulamentului (CE) nr. 883/2004 al Parlamentului European şi al Consiliului, beneficiază de pachetul de servicii medicale de bază pentru îngrijiri medicale la domiciliu prevăzut la lit. A din prezenta anexă.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</w:t>
      </w:r>
      <w:r>
        <w:rPr>
          <w:rFonts w:ascii="Times New Roman" w:cs="Times New Roman" w:hAnsi="Times New Roman"/>
          <w:sz w:val="24"/>
          <w:szCs w:val="24"/>
        </w:rPr>
        <w:t>2. Pacienţii din statele cu care România a încheiat acorduri, înţelegeri, convenţii sau protocoale internaţionale cu prevederi în domeniul sănătăţii, beneficiază de pachetul de servicii medicale de bază pentru îngrijiri medicale la domiciliu, prevăzut la lit. A din prezenta anexă, în condiţiile stabilite de respectivele documente internaţionale.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rPr/>
      </w:pPr>
      <w:r>
        <w:rPr/>
      </w:r>
    </w:p>
    <w:sectPr>
      <w:footerReference r:id="rId2" w:type="default"/>
      <w:type w:val="nextPage"/>
      <w:pgSz w:h="16838" w:w="11906"/>
      <w:pgMar w:bottom="1134" w:footer="709" w:gutter="0" w:header="0" w:left="1134" w:right="1134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44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Lucida Sans Unicode" w:hAnsi="Calibri"/>
      <w:color w:val="auto"/>
      <w:sz w:val="22"/>
      <w:szCs w:val="22"/>
      <w:lang w:bidi="ar-SA" w:eastAsia="en-US" w:val="ro-RO"/>
    </w:rPr>
  </w:style>
  <w:style w:styleId="style15" w:type="character">
    <w:name w:val="Default Paragraph Font"/>
    <w:next w:val="style15"/>
    <w:rPr/>
  </w:style>
  <w:style w:styleId="style16" w:type="character">
    <w:name w:val="Antet Caracter"/>
    <w:basedOn w:val="style15"/>
    <w:next w:val="style16"/>
    <w:rPr/>
  </w:style>
  <w:style w:styleId="style17" w:type="character">
    <w:name w:val="Subsol Caracter"/>
    <w:basedOn w:val="style15"/>
    <w:next w:val="style17"/>
    <w:rPr/>
  </w:style>
  <w:style w:styleId="style18" w:type="paragraph">
    <w:name w:val="Heading"/>
    <w:basedOn w:val="style0"/>
    <w:next w:val="style19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9" w:type="paragraph">
    <w:name w:val="Text Body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"/>
    <w:basedOn w:val="style19"/>
    <w:next w:val="style20"/>
    <w:pPr/>
    <w:rPr>
      <w:rFonts w:cs="Mangal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Mangal"/>
    </w:rPr>
  </w:style>
  <w:style w:styleId="style23" w:type="paragraph">
    <w:name w:val="Header"/>
    <w:basedOn w:val="style0"/>
    <w:next w:val="style23"/>
    <w:pPr>
      <w:tabs>
        <w:tab w:leader="none" w:pos="4513" w:val="center"/>
        <w:tab w:leader="none" w:pos="9026" w:val="right"/>
      </w:tabs>
      <w:spacing w:after="0" w:before="0" w:line="100" w:lineRule="atLeast"/>
      <w:contextualSpacing w:val="false"/>
    </w:pPr>
    <w:rPr/>
  </w:style>
  <w:style w:styleId="style24" w:type="paragraph">
    <w:name w:val="Footer"/>
    <w:basedOn w:val="style0"/>
    <w:next w:val="style24"/>
    <w:pPr>
      <w:tabs>
        <w:tab w:leader="none" w:pos="4513" w:val="center"/>
        <w:tab w:leader="none" w:pos="9026" w:val="right"/>
      </w:tabs>
      <w:spacing w:after="0" w:before="0" w:line="100" w:lineRule="atLeast"/>
      <w:contextualSpacing w:val="false"/>
    </w:pPr>
    <w:rPr/>
  </w:style>
  <w:style w:styleId="style25" w:type="paragraph">
    <w:name w:val="List Paragraph"/>
    <w:basedOn w:val="style0"/>
    <w:next w:val="style25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2021-03-10T10:13:00Z</dcterms:created>
  <dc:creator>Raluca BRATIANU</dc:creator>
  <cp:lastModifiedBy>Rodica PATRASCU</cp:lastModifiedBy>
  <dcterms:modified xsi:type="dcterms:W3CDTF">2021-06-14T11:47:00Z</dcterms:modified>
  <cp:revision>39</cp:revision>
</cp:coreProperties>
</file>