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8E" w:rsidRPr="000F628E" w:rsidRDefault="000F628E" w:rsidP="000F628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F628E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0F628E">
        <w:rPr>
          <w:rFonts w:ascii="Arial" w:eastAsia="Times New Roman" w:hAnsi="Arial" w:cs="Arial"/>
          <w:b/>
          <w:bCs/>
          <w:color w:val="000000"/>
          <w:sz w:val="26"/>
          <w:szCs w:val="26"/>
        </w:rPr>
        <w:t>E.</w:t>
      </w:r>
      <w:r w:rsidRPr="000F628E">
        <w:rPr>
          <w:rFonts w:ascii="Arial" w:eastAsia="Times New Roman" w:hAnsi="Arial" w:cs="Arial"/>
          <w:color w:val="000000"/>
          <w:sz w:val="26"/>
          <w:szCs w:val="26"/>
        </w:rPr>
        <w:t> CHESTIONAR DE AUTOEVALUARE PENTRU FURNIZORII DE SERVICII CONEXE ACTULUI MEDICAL PENTRU PERSOANE CU TULBURĂRI DIN SPECTRUL AUTIST </w:t>
      </w:r>
    </w:p>
    <w:p w:rsidR="000F628E" w:rsidRPr="000F628E" w:rsidRDefault="000F628E" w:rsidP="000F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28E">
        <w:rPr>
          <w:rFonts w:ascii="Arial" w:eastAsia="Times New Roman" w:hAnsi="Arial" w:cs="Arial"/>
          <w:color w:val="000000"/>
          <w:sz w:val="26"/>
          <w:szCs w:val="26"/>
        </w:rPr>
        <w:br/>
      </w: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026"/>
        <w:gridCol w:w="6232"/>
        <w:gridCol w:w="1080"/>
        <w:gridCol w:w="2340"/>
      </w:tblGrid>
      <w:tr w:rsidR="004F3FD2" w:rsidRPr="000F628E" w:rsidTr="004F3FD2">
        <w:trPr>
          <w:trHeight w:val="1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STANDARD</w:t>
            </w: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CRITERII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DESCRIERE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EVALUARE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OBSERVAŢII</w:t>
            </w: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STANDARD REFERITOR LA ORGANIZARE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76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I.1*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certificat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înregistrare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3-a,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eliberat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Direcţia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Sănătate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prevederilor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I.2*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autorizaţie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sanitară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eliberată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Direcţia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Sănătate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I.3*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desfăşoară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într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-un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spaţiu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dispune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 legal.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Regulament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Intern de care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întreg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cunoştinţă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I.5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Regulament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Funcţionare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întreg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cunoştinţă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I.6*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dovada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răspundere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profesională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domeniul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psihologiei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STANDARD REFERITOR LA STRUCTURA DE PERSONAL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139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II.1*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atestat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tulburări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spectrul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autist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eliberat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Colegiului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România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următoarele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specialităţi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consiliere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psihoterapie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educaţională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consiliere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şcolară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vocaţională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psihopedagogie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înregistraţi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TSA.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76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II.2*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dovada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răspundere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profesională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domeniul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psihologiei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prejudiciile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produse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exercitarea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profesiei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depăşirea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competenţei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profesionale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II.3*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Întreg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desfăşoară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într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-o </w:t>
            </w:r>
            <w:proofErr w:type="spellStart"/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cabinet</w:t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II.4*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fişe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 cu</w:t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atribuţiile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specifice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semnate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fiecare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angajat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aprobate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reprezentantul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legal.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STANDARD REFERITOR LA INFORMAREA ASIGURAŢILOR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o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firmă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vizibilă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exterior.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un program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stabilit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conform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reglementărilor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vizibil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III.3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expus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vizibil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sănătate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care se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relaţie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contractuală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precum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contact ale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acesteia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Drepturile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obligaţiile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vizibil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III.5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Asiguraţii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neîngrădit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un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reclamaţii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sesizări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paginile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numerotate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III.6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vizibil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numărul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urgenţă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(112).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III.7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poartă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permanenţă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ecuson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care se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inscripţionat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calificarea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angajatului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respectiv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97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III.8*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tarifele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care nu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parte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decontate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Subprogramului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naţional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acordate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diagnosticate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tulburări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spectrul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autist</w:t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către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casa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sănătate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97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III.9*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precum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tarifelor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decontate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Subprogramului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naţional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acordate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diagnosticate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tulburări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spectrul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autist</w:t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către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casa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asigurări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sănătate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III.10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afişat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numărul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care se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III.11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fiecare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încăpere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există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 plan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evacuare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caz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incendiu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poziţiei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privitorului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STANDARD REFERITOR LA DOTARE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IV.1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Sala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aşteptare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furnizorului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dotată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conform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IV.2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Furnizorul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orice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tip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dizabilitate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IV.3*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îndeplineşte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condiţiile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obligatorie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conform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reglementărilor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IV.4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dovada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IV.5*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 post/terminal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telefonic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(fix,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functional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sistem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cărui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utilizare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conformă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cerinţelor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CNAS.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 REFERITOR LA ASIGURAREA SERVICIILOR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FD2" w:rsidRPr="000F628E" w:rsidTr="004F3FD2">
        <w:trPr>
          <w:trHeight w:val="328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V.1*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evidenţa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activităţilor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înregistrarea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următoarele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a)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dosarul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pacientului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format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letric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conţinând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intervenţie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personalizată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actualizat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lunar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baza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ritmului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progres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pacientului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raport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evaluarea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abilităţilor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fiecare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fişă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fiecare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obiectiv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stabilit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intervenţie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detaliat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obiectivul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fişă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colectare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fiecare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obiectiv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parte;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fişă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monitorizare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comportamentelor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neadecvate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excepţia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cabinetului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psihologie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specialitatea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psihopedagogie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specială-logopedie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b)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activităţi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astfel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încât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identificabil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pacientul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care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oferit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diagnosticul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precum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când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fost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furnizat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5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V.2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Furnizorul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deţine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utilizează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caz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tipizate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prevederilor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118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V.3*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ROF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menţionate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următoarele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a)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obligativitatea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păstrării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confidenţialităţii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asupra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tuturor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informaţiilor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decurg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serviciile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acordate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b)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obligativitatea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acordării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conexe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actului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nediscriminatoriu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4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V.4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cabinet se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află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lista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programare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asiguraţilor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0F62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F628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 / NU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4F3FD2" w:rsidRPr="000F628E" w:rsidTr="004F3FD2">
        <w:trPr>
          <w:trHeight w:val="36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F62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CRITERII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F628E" w:rsidRPr="000F628E" w:rsidRDefault="000F628E" w:rsidP="000F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628E" w:rsidRPr="000F628E" w:rsidRDefault="000F628E" w:rsidP="000F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28E" w:rsidRDefault="000F628E" w:rsidP="000F6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28E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0F6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*)</w:t>
      </w:r>
      <w:r w:rsidRPr="000F628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F628E">
        <w:rPr>
          <w:rFonts w:ascii="Arial" w:eastAsia="Times New Roman" w:hAnsi="Arial" w:cs="Arial"/>
          <w:color w:val="000000"/>
          <w:sz w:val="20"/>
          <w:szCs w:val="20"/>
        </w:rPr>
        <w:t>Reprezintă</w:t>
      </w:r>
      <w:proofErr w:type="spellEnd"/>
      <w:r w:rsidRPr="000F6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28E">
        <w:rPr>
          <w:rFonts w:ascii="Arial" w:eastAsia="Times New Roman" w:hAnsi="Arial" w:cs="Arial"/>
          <w:color w:val="000000"/>
          <w:sz w:val="20"/>
          <w:szCs w:val="20"/>
        </w:rPr>
        <w:t>criterii</w:t>
      </w:r>
      <w:proofErr w:type="spellEnd"/>
      <w:r w:rsidRPr="000F6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F628E">
        <w:rPr>
          <w:rFonts w:ascii="Arial" w:eastAsia="Times New Roman" w:hAnsi="Arial" w:cs="Arial"/>
          <w:color w:val="000000"/>
          <w:sz w:val="20"/>
          <w:szCs w:val="20"/>
        </w:rPr>
        <w:t>eligibile</w:t>
      </w:r>
      <w:proofErr w:type="spellEnd"/>
      <w:r w:rsidRPr="000F628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F628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F3FD2" w:rsidRDefault="004F3FD2" w:rsidP="000F6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FD2" w:rsidRPr="000F628E" w:rsidRDefault="004F3FD2" w:rsidP="000F6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3456" w:type="dxa"/>
        <w:tblLook w:val="04A0" w:firstRow="1" w:lastRow="0" w:firstColumn="1" w:lastColumn="0" w:noHBand="0" w:noVBand="1"/>
      </w:tblPr>
      <w:tblGrid>
        <w:gridCol w:w="1728"/>
        <w:gridCol w:w="1728"/>
      </w:tblGrid>
      <w:tr w:rsidR="004F3FD2" w:rsidRPr="004F3FD2" w:rsidTr="004F3FD2">
        <w:trPr>
          <w:trHeight w:val="255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Reprezentant</w:t>
            </w:r>
            <w:proofErr w:type="spellEnd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 xml:space="preserve"> legal</w:t>
            </w:r>
          </w:p>
        </w:tc>
      </w:tr>
      <w:tr w:rsidR="004F3FD2" w:rsidRPr="004F3FD2" w:rsidTr="004F3FD2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3FD2" w:rsidRPr="004F3FD2" w:rsidTr="004F3FD2">
        <w:trPr>
          <w:trHeight w:val="255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Nume</w:t>
            </w:r>
            <w:proofErr w:type="spellEnd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prenume</w:t>
            </w:r>
            <w:proofErr w:type="spellEnd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semnătură</w:t>
            </w:r>
            <w:proofErr w:type="spellEnd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F3FD2">
              <w:rPr>
                <w:rFonts w:ascii="Arial" w:eastAsia="Times New Roman" w:hAnsi="Arial" w:cs="Arial"/>
                <w:sz w:val="20"/>
                <w:szCs w:val="20"/>
              </w:rPr>
              <w:t>ştampilă</w:t>
            </w:r>
            <w:proofErr w:type="spellEnd"/>
          </w:p>
        </w:tc>
      </w:tr>
      <w:tr w:rsidR="004F3FD2" w:rsidRPr="004F3FD2" w:rsidTr="004F3FD2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3FD2" w:rsidRPr="004F3FD2" w:rsidTr="004F3FD2">
        <w:trPr>
          <w:trHeight w:val="255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FD2" w:rsidRPr="004F3FD2" w:rsidRDefault="004F3FD2" w:rsidP="004F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4F3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intocmirii</w:t>
            </w:r>
            <w:proofErr w:type="spellEnd"/>
          </w:p>
        </w:tc>
      </w:tr>
      <w:bookmarkEnd w:id="0"/>
    </w:tbl>
    <w:p w:rsidR="004A2E48" w:rsidRDefault="004A2E48"/>
    <w:sectPr w:rsidR="004A2E48" w:rsidSect="000F628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A7"/>
    <w:rsid w:val="000F628E"/>
    <w:rsid w:val="004A2E48"/>
    <w:rsid w:val="004F3FD2"/>
    <w:rsid w:val="00E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3C9A"/>
  <w15:chartTrackingRefBased/>
  <w15:docId w15:val="{A4E6552C-A7A4-4604-9B8D-1CE1998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WSCT703</dc:creator>
  <cp:keywords/>
  <dc:description/>
  <cp:lastModifiedBy>WSCT703</cp:lastModifiedBy>
  <cp:revision>3</cp:revision>
  <dcterms:created xsi:type="dcterms:W3CDTF">2023-12-08T09:44:00Z</dcterms:created>
  <dcterms:modified xsi:type="dcterms:W3CDTF">2023-12-08T09:49:00Z</dcterms:modified>
</cp:coreProperties>
</file>